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jc w:val="left"/>
        <w:rPr>
          <w:rFonts w:eastAsia="仿宋_GB2312"/>
          <w:sz w:val="30"/>
        </w:rPr>
      </w:pPr>
      <w:r>
        <w:rPr>
          <w:rFonts w:hint="eastAsia" w:eastAsia="仿宋_GB2312"/>
          <w:sz w:val="30"/>
        </w:rPr>
        <w:t>附件</w:t>
      </w:r>
      <w:r>
        <w:rPr>
          <w:rFonts w:ascii="Times New Roman" w:hAnsi="Times New Roman" w:eastAsia="仿宋_GB2312"/>
          <w:sz w:val="30"/>
        </w:rPr>
        <w:t>2</w:t>
      </w:r>
    </w:p>
    <w:p>
      <w:pPr>
        <w:spacing w:line="360" w:lineRule="auto"/>
        <w:jc w:val="center"/>
        <w:rPr>
          <w:rFonts w:hint="eastAsia" w:ascii="黑体" w:hAnsi="黑体" w:eastAsia="黑体" w:cs="宋体"/>
          <w:kern w:val="0"/>
          <w:sz w:val="28"/>
          <w:szCs w:val="24"/>
        </w:rPr>
      </w:pPr>
      <w:r>
        <w:rPr>
          <w:rFonts w:hint="eastAsia" w:ascii="黑体" w:hAnsi="黑体" w:eastAsia="黑体" w:cs="宋体"/>
          <w:kern w:val="0"/>
          <w:sz w:val="28"/>
          <w:szCs w:val="24"/>
        </w:rPr>
        <w:t>污染治理设施运行服务能力评价指标</w:t>
      </w:r>
    </w:p>
    <w:p>
      <w:pPr>
        <w:spacing w:afterLines="50" w:line="360" w:lineRule="auto"/>
        <w:jc w:val="center"/>
        <w:rPr>
          <w:rFonts w:ascii="黑体" w:hAnsi="黑体" w:eastAsia="黑体" w:cs="宋体"/>
          <w:kern w:val="0"/>
          <w:sz w:val="28"/>
          <w:szCs w:val="24"/>
        </w:rPr>
      </w:pPr>
      <w:r>
        <w:rPr>
          <w:rFonts w:hint="eastAsia" w:ascii="黑体" w:hAnsi="黑体" w:eastAsia="黑体" w:cs="宋体"/>
          <w:kern w:val="0"/>
          <w:sz w:val="28"/>
          <w:szCs w:val="24"/>
        </w:rPr>
        <w:t>（修订稿）</w:t>
      </w:r>
    </w:p>
    <w:tbl>
      <w:tblPr>
        <w:tblStyle w:val="7"/>
        <w:tblW w:w="1442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34"/>
        <w:gridCol w:w="426"/>
        <w:gridCol w:w="566"/>
        <w:gridCol w:w="1701"/>
        <w:gridCol w:w="3827"/>
        <w:gridCol w:w="3969"/>
        <w:gridCol w:w="34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trPr>
        <w:tc>
          <w:tcPr>
            <w:tcW w:w="534" w:type="dxa"/>
            <w:vMerge w:val="restart"/>
            <w:shd w:val="clear" w:color="auto" w:fill="auto"/>
            <w:vAlign w:val="center"/>
          </w:tcPr>
          <w:p>
            <w:pPr>
              <w:adjustRightInd w:val="0"/>
              <w:snapToGrid w:val="0"/>
            </w:pPr>
            <w:r>
              <w:rPr>
                <w:rFonts w:hint="eastAsia"/>
              </w:rPr>
              <w:t>类别</w:t>
            </w:r>
          </w:p>
        </w:tc>
        <w:tc>
          <w:tcPr>
            <w:tcW w:w="426" w:type="dxa"/>
            <w:vMerge w:val="restart"/>
            <w:shd w:val="clear" w:color="auto" w:fill="auto"/>
            <w:vAlign w:val="center"/>
          </w:tcPr>
          <w:p>
            <w:pPr>
              <w:adjustRightInd w:val="0"/>
              <w:snapToGrid w:val="0"/>
            </w:pPr>
            <w:r>
              <w:rPr>
                <w:rFonts w:hint="eastAsia"/>
              </w:rPr>
              <w:t>序</w:t>
            </w:r>
          </w:p>
          <w:p>
            <w:pPr>
              <w:adjustRightInd w:val="0"/>
              <w:snapToGrid w:val="0"/>
            </w:pPr>
            <w:r>
              <w:rPr>
                <w:rFonts w:hint="eastAsia"/>
              </w:rPr>
              <w:t>号</w:t>
            </w:r>
          </w:p>
        </w:tc>
        <w:tc>
          <w:tcPr>
            <w:tcW w:w="2267" w:type="dxa"/>
            <w:gridSpan w:val="2"/>
            <w:vMerge w:val="restart"/>
            <w:shd w:val="clear" w:color="auto" w:fill="auto"/>
            <w:vAlign w:val="center"/>
          </w:tcPr>
          <w:p>
            <w:pPr>
              <w:adjustRightInd w:val="0"/>
              <w:snapToGrid w:val="0"/>
            </w:pPr>
            <w:r>
              <w:rPr>
                <w:rFonts w:hint="eastAsia"/>
              </w:rPr>
              <w:t>指标名称</w:t>
            </w:r>
          </w:p>
        </w:tc>
        <w:tc>
          <w:tcPr>
            <w:tcW w:w="11198" w:type="dxa"/>
            <w:gridSpan w:val="3"/>
            <w:shd w:val="clear" w:color="auto" w:fill="auto"/>
            <w:vAlign w:val="center"/>
          </w:tcPr>
          <w:p>
            <w:pPr>
              <w:adjustRightInd w:val="0"/>
              <w:snapToGrid w:val="0"/>
              <w:jc w:val="center"/>
            </w:pPr>
            <w:r>
              <w:rPr>
                <w:rFonts w:hint="eastAsia"/>
              </w:rPr>
              <w:t>运行服务能力级别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534" w:type="dxa"/>
            <w:vMerge w:val="continue"/>
            <w:shd w:val="clear" w:color="auto" w:fill="auto"/>
            <w:vAlign w:val="center"/>
          </w:tcPr>
          <w:p>
            <w:pPr>
              <w:adjustRightInd w:val="0"/>
              <w:snapToGrid w:val="0"/>
            </w:pPr>
          </w:p>
        </w:tc>
        <w:tc>
          <w:tcPr>
            <w:tcW w:w="426" w:type="dxa"/>
            <w:vMerge w:val="continue"/>
            <w:shd w:val="clear" w:color="auto" w:fill="auto"/>
            <w:vAlign w:val="center"/>
          </w:tcPr>
          <w:p>
            <w:pPr>
              <w:adjustRightInd w:val="0"/>
              <w:snapToGrid w:val="0"/>
            </w:pPr>
          </w:p>
        </w:tc>
        <w:tc>
          <w:tcPr>
            <w:tcW w:w="2267" w:type="dxa"/>
            <w:gridSpan w:val="2"/>
            <w:vMerge w:val="continue"/>
            <w:shd w:val="clear" w:color="auto" w:fill="auto"/>
            <w:vAlign w:val="center"/>
          </w:tcPr>
          <w:p>
            <w:pPr>
              <w:adjustRightInd w:val="0"/>
              <w:snapToGrid w:val="0"/>
            </w:pPr>
          </w:p>
        </w:tc>
        <w:tc>
          <w:tcPr>
            <w:tcW w:w="3827" w:type="dxa"/>
            <w:shd w:val="clear" w:color="auto" w:fill="auto"/>
            <w:vAlign w:val="center"/>
          </w:tcPr>
          <w:p>
            <w:pPr>
              <w:adjustRightInd w:val="0"/>
              <w:snapToGrid w:val="0"/>
              <w:jc w:val="center"/>
            </w:pPr>
            <w:r>
              <w:rPr>
                <w:rFonts w:hint="eastAsia"/>
              </w:rPr>
              <w:t>一级</w:t>
            </w:r>
          </w:p>
        </w:tc>
        <w:tc>
          <w:tcPr>
            <w:tcW w:w="3969" w:type="dxa"/>
            <w:shd w:val="clear" w:color="auto" w:fill="auto"/>
            <w:vAlign w:val="center"/>
          </w:tcPr>
          <w:p>
            <w:pPr>
              <w:adjustRightInd w:val="0"/>
              <w:snapToGrid w:val="0"/>
              <w:jc w:val="center"/>
            </w:pPr>
            <w:r>
              <w:rPr>
                <w:rFonts w:hint="eastAsia"/>
              </w:rPr>
              <w:t>二级</w:t>
            </w:r>
          </w:p>
        </w:tc>
        <w:tc>
          <w:tcPr>
            <w:tcW w:w="3402" w:type="dxa"/>
            <w:shd w:val="clear" w:color="auto" w:fill="auto"/>
            <w:vAlign w:val="center"/>
          </w:tcPr>
          <w:p>
            <w:pPr>
              <w:adjustRightInd w:val="0"/>
              <w:snapToGrid w:val="0"/>
              <w:jc w:val="center"/>
            </w:pPr>
            <w:r>
              <w:rPr>
                <w:rFonts w:hint="eastAsia"/>
              </w:rPr>
              <w:t>三级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5" w:hRule="atLeast"/>
        </w:trPr>
        <w:tc>
          <w:tcPr>
            <w:tcW w:w="534" w:type="dxa"/>
            <w:vMerge w:val="restart"/>
            <w:shd w:val="clear" w:color="auto" w:fill="auto"/>
            <w:vAlign w:val="center"/>
          </w:tcPr>
          <w:p>
            <w:pPr>
              <w:adjustRightInd w:val="0"/>
              <w:snapToGrid w:val="0"/>
            </w:pPr>
            <w:r>
              <w:rPr>
                <w:rFonts w:hint="eastAsia"/>
              </w:rPr>
              <w:t>运行质量管理</w:t>
            </w:r>
          </w:p>
        </w:tc>
        <w:tc>
          <w:tcPr>
            <w:tcW w:w="426" w:type="dxa"/>
            <w:shd w:val="clear" w:color="auto" w:fill="auto"/>
            <w:vAlign w:val="center"/>
          </w:tcPr>
          <w:p>
            <w:pPr>
              <w:adjustRightInd w:val="0"/>
              <w:snapToGrid w:val="0"/>
            </w:pPr>
            <w:r>
              <w:rPr>
                <w:rFonts w:hint="eastAsia"/>
              </w:rPr>
              <w:t>1</w:t>
            </w:r>
          </w:p>
        </w:tc>
        <w:tc>
          <w:tcPr>
            <w:tcW w:w="2267" w:type="dxa"/>
            <w:gridSpan w:val="2"/>
            <w:shd w:val="clear" w:color="auto" w:fill="auto"/>
            <w:vAlign w:val="center"/>
          </w:tcPr>
          <w:p>
            <w:pPr>
              <w:adjustRightInd w:val="0"/>
              <w:snapToGrid w:val="0"/>
            </w:pPr>
            <w:r>
              <w:rPr>
                <w:rFonts w:hint="eastAsia"/>
              </w:rPr>
              <w:t>质量管理体系</w:t>
            </w:r>
          </w:p>
        </w:tc>
        <w:tc>
          <w:tcPr>
            <w:tcW w:w="3827" w:type="dxa"/>
            <w:shd w:val="clear" w:color="auto" w:fill="auto"/>
            <w:vAlign w:val="center"/>
          </w:tcPr>
          <w:p>
            <w:pPr>
              <w:adjustRightInd w:val="0"/>
              <w:snapToGrid w:val="0"/>
            </w:pPr>
            <w:r>
              <w:rPr>
                <w:rFonts w:hint="eastAsia" w:ascii="宋体" w:hAnsi="宋体" w:cs="宋体"/>
                <w:kern w:val="0"/>
                <w:szCs w:val="21"/>
              </w:rPr>
              <w:t>具备符合ISO9001要求的运行服务质量管理文件以及与其运行项目相适应的规章制度、工艺文件和作业指导书，项目运行过程中严格执行，相关记录完整。</w:t>
            </w:r>
          </w:p>
        </w:tc>
        <w:tc>
          <w:tcPr>
            <w:tcW w:w="3969" w:type="dxa"/>
            <w:shd w:val="clear" w:color="auto" w:fill="auto"/>
            <w:vAlign w:val="center"/>
          </w:tcPr>
          <w:p>
            <w:pPr>
              <w:adjustRightInd w:val="0"/>
              <w:snapToGrid w:val="0"/>
            </w:pPr>
            <w:r>
              <w:rPr>
                <w:rFonts w:hint="eastAsia"/>
              </w:rPr>
              <w:t>建立了</w:t>
            </w:r>
            <w:r>
              <w:rPr>
                <w:rFonts w:hint="eastAsia" w:ascii="宋体" w:hAnsi="宋体" w:cs="宋体"/>
                <w:kern w:val="0"/>
                <w:szCs w:val="21"/>
              </w:rPr>
              <w:t>运行服务质量管理文件以及与其运行项目相适应的规章制度、工艺文件和作业指导书，并在项目运行过程中执行，具有相关记录。</w:t>
            </w:r>
          </w:p>
        </w:tc>
        <w:tc>
          <w:tcPr>
            <w:tcW w:w="3402" w:type="dxa"/>
            <w:shd w:val="clear" w:color="auto" w:fill="auto"/>
            <w:vAlign w:val="center"/>
          </w:tcPr>
          <w:p>
            <w:pPr>
              <w:adjustRightInd w:val="0"/>
              <w:snapToGrid w:val="0"/>
            </w:pPr>
            <w:r>
              <w:rPr>
                <w:rFonts w:hint="eastAsia"/>
              </w:rPr>
              <w:t>建立了</w:t>
            </w:r>
            <w:r>
              <w:rPr>
                <w:rFonts w:hint="eastAsia" w:ascii="宋体" w:hAnsi="宋体" w:cs="宋体"/>
                <w:kern w:val="0"/>
                <w:szCs w:val="21"/>
              </w:rPr>
              <w:t>运行服务质量管理文件以及与其运行项目相适应的规章制度、工艺文件和作业指导书。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6" w:hRule="atLeast"/>
        </w:trPr>
        <w:tc>
          <w:tcPr>
            <w:tcW w:w="534" w:type="dxa"/>
            <w:vMerge w:val="continue"/>
            <w:shd w:val="clear" w:color="auto" w:fill="auto"/>
            <w:vAlign w:val="center"/>
          </w:tcPr>
          <w:p>
            <w:pPr>
              <w:adjustRightInd w:val="0"/>
              <w:snapToGrid w:val="0"/>
            </w:pPr>
          </w:p>
        </w:tc>
        <w:tc>
          <w:tcPr>
            <w:tcW w:w="426" w:type="dxa"/>
            <w:shd w:val="clear" w:color="auto" w:fill="auto"/>
            <w:vAlign w:val="center"/>
          </w:tcPr>
          <w:p>
            <w:pPr>
              <w:adjustRightInd w:val="0"/>
              <w:snapToGrid w:val="0"/>
            </w:pPr>
            <w:r>
              <w:rPr>
                <w:rFonts w:hint="eastAsia"/>
              </w:rPr>
              <w:t>2</w:t>
            </w:r>
          </w:p>
        </w:tc>
        <w:tc>
          <w:tcPr>
            <w:tcW w:w="2267" w:type="dxa"/>
            <w:gridSpan w:val="2"/>
            <w:shd w:val="clear" w:color="auto" w:fill="auto"/>
            <w:vAlign w:val="center"/>
          </w:tcPr>
          <w:p>
            <w:pPr>
              <w:adjustRightInd w:val="0"/>
              <w:snapToGrid w:val="0"/>
            </w:pPr>
            <w:r>
              <w:rPr>
                <w:rFonts w:hint="eastAsia"/>
              </w:rPr>
              <w:t>突发环境事件应急预案</w:t>
            </w:r>
          </w:p>
        </w:tc>
        <w:tc>
          <w:tcPr>
            <w:tcW w:w="3827" w:type="dxa"/>
            <w:shd w:val="clear" w:color="auto" w:fill="auto"/>
            <w:vAlign w:val="center"/>
          </w:tcPr>
          <w:p>
            <w:pPr>
              <w:widowControl/>
              <w:adjustRightInd w:val="0"/>
              <w:snapToGrid w:val="0"/>
              <w:outlineLvl w:val="0"/>
              <w:rPr>
                <w:rFonts w:ascii="宋体" w:hAnsi="宋体" w:cs="宋体"/>
                <w:kern w:val="0"/>
                <w:szCs w:val="21"/>
              </w:rPr>
            </w:pPr>
            <w:r>
              <w:rPr>
                <w:rFonts w:hint="eastAsia"/>
              </w:rPr>
              <w:t>建立了完善的突发环境事件应急预案，对预警因素和应急措施考虑充分，并对</w:t>
            </w:r>
            <w:r>
              <w:rPr>
                <w:rFonts w:hint="eastAsia" w:ascii="宋体" w:hAnsi="宋体" w:cs="宋体"/>
                <w:kern w:val="0"/>
                <w:szCs w:val="21"/>
              </w:rPr>
              <w:t>实际发生的紧急情况和事故作出响应</w:t>
            </w:r>
            <w:r>
              <w:rPr>
                <w:rFonts w:hint="eastAsia"/>
              </w:rPr>
              <w:t>。</w:t>
            </w:r>
          </w:p>
        </w:tc>
        <w:tc>
          <w:tcPr>
            <w:tcW w:w="3969" w:type="dxa"/>
            <w:shd w:val="clear" w:color="auto" w:fill="auto"/>
            <w:vAlign w:val="center"/>
          </w:tcPr>
          <w:p>
            <w:pPr>
              <w:adjustRightInd w:val="0"/>
              <w:snapToGrid w:val="0"/>
            </w:pPr>
            <w:r>
              <w:rPr>
                <w:rFonts w:hint="eastAsia"/>
              </w:rPr>
              <w:t>建立了突发环境事件应急预案，并对</w:t>
            </w:r>
            <w:r>
              <w:rPr>
                <w:rFonts w:hint="eastAsia" w:ascii="宋体" w:hAnsi="宋体" w:cs="宋体"/>
                <w:kern w:val="0"/>
                <w:szCs w:val="21"/>
              </w:rPr>
              <w:t>实际发生的紧急情况和事故作出响应</w:t>
            </w:r>
            <w:r>
              <w:rPr>
                <w:rFonts w:hint="eastAsia"/>
              </w:rPr>
              <w:t>。</w:t>
            </w:r>
          </w:p>
        </w:tc>
        <w:tc>
          <w:tcPr>
            <w:tcW w:w="3402" w:type="dxa"/>
            <w:shd w:val="clear" w:color="auto" w:fill="auto"/>
            <w:vAlign w:val="center"/>
          </w:tcPr>
          <w:p>
            <w:pPr>
              <w:adjustRightInd w:val="0"/>
              <w:snapToGrid w:val="0"/>
            </w:pPr>
            <w:r>
              <w:rPr>
                <w:rFonts w:hint="eastAsia"/>
              </w:rPr>
              <w:t>建立了突发环境事件应急预案。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vMerge w:val="restart"/>
            <w:shd w:val="clear" w:color="auto" w:fill="auto"/>
            <w:vAlign w:val="center"/>
          </w:tcPr>
          <w:p>
            <w:pPr>
              <w:adjustRightInd w:val="0"/>
              <w:snapToGrid w:val="0"/>
            </w:pPr>
            <w:r>
              <w:rPr>
                <w:rFonts w:hint="eastAsia"/>
              </w:rPr>
              <w:t>检测能力</w:t>
            </w:r>
          </w:p>
        </w:tc>
        <w:tc>
          <w:tcPr>
            <w:tcW w:w="426" w:type="dxa"/>
            <w:shd w:val="clear" w:color="auto" w:fill="auto"/>
            <w:vAlign w:val="center"/>
          </w:tcPr>
          <w:p>
            <w:pPr>
              <w:adjustRightInd w:val="0"/>
              <w:snapToGrid w:val="0"/>
            </w:pPr>
            <w:r>
              <w:rPr>
                <w:rFonts w:hint="eastAsia"/>
              </w:rPr>
              <w:t>3</w:t>
            </w:r>
          </w:p>
        </w:tc>
        <w:tc>
          <w:tcPr>
            <w:tcW w:w="2267" w:type="dxa"/>
            <w:gridSpan w:val="2"/>
            <w:shd w:val="clear" w:color="auto" w:fill="auto"/>
            <w:vAlign w:val="center"/>
          </w:tcPr>
          <w:p>
            <w:pPr>
              <w:adjustRightInd w:val="0"/>
              <w:snapToGrid w:val="0"/>
            </w:pPr>
            <w:r>
              <w:rPr>
                <w:rFonts w:hint="eastAsia"/>
              </w:rPr>
              <w:t>实验室和检测条件</w:t>
            </w:r>
          </w:p>
        </w:tc>
        <w:tc>
          <w:tcPr>
            <w:tcW w:w="3827" w:type="dxa"/>
            <w:shd w:val="clear" w:color="auto" w:fill="auto"/>
            <w:vAlign w:val="center"/>
          </w:tcPr>
          <w:p>
            <w:pPr>
              <w:adjustRightInd w:val="0"/>
              <w:snapToGrid w:val="0"/>
            </w:pPr>
            <w:r>
              <w:rPr>
                <w:rFonts w:hint="eastAsia"/>
              </w:rPr>
              <w:t>拥有自有实验室，仪器配置齐全，相关检定手续完备，能够满足运行服务需要，除特殊项目外，不需要委托第三方检测机构检测。</w:t>
            </w:r>
          </w:p>
        </w:tc>
        <w:tc>
          <w:tcPr>
            <w:tcW w:w="3969" w:type="dxa"/>
            <w:shd w:val="clear" w:color="auto" w:fill="auto"/>
            <w:vAlign w:val="center"/>
          </w:tcPr>
          <w:p>
            <w:pPr>
              <w:adjustRightInd w:val="0"/>
              <w:snapToGrid w:val="0"/>
            </w:pPr>
            <w:r>
              <w:rPr>
                <w:rFonts w:hint="eastAsia"/>
              </w:rPr>
              <w:t>拥有自有实验室，仪器配置可满足运行服务范围内常规、主要污染物的检测需求，部分污染物检测委托具有CMA资质的第三方检测机构。</w:t>
            </w:r>
          </w:p>
        </w:tc>
        <w:tc>
          <w:tcPr>
            <w:tcW w:w="3402" w:type="dxa"/>
            <w:shd w:val="clear" w:color="auto" w:fill="auto"/>
            <w:vAlign w:val="center"/>
          </w:tcPr>
          <w:p>
            <w:pPr>
              <w:adjustRightInd w:val="0"/>
              <w:snapToGrid w:val="0"/>
            </w:pPr>
            <w:r>
              <w:rPr>
                <w:rFonts w:hint="eastAsia"/>
              </w:rPr>
              <w:t>拥有自有实验室，仪器配置可满足运行服务范围内常规、主要污染物的检测需求，部分污染物检测委托具有CMA资质的第三方检测机构。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6" w:hRule="atLeast"/>
        </w:trPr>
        <w:tc>
          <w:tcPr>
            <w:tcW w:w="534" w:type="dxa"/>
            <w:vMerge w:val="continue"/>
            <w:shd w:val="clear" w:color="auto" w:fill="auto"/>
            <w:vAlign w:val="center"/>
          </w:tcPr>
          <w:p>
            <w:pPr>
              <w:adjustRightInd w:val="0"/>
              <w:snapToGrid w:val="0"/>
            </w:pPr>
          </w:p>
        </w:tc>
        <w:tc>
          <w:tcPr>
            <w:tcW w:w="426" w:type="dxa"/>
            <w:shd w:val="clear" w:color="auto" w:fill="auto"/>
            <w:vAlign w:val="center"/>
          </w:tcPr>
          <w:p>
            <w:pPr>
              <w:adjustRightInd w:val="0"/>
              <w:snapToGrid w:val="0"/>
            </w:pPr>
            <w:r>
              <w:rPr>
                <w:rFonts w:hint="eastAsia"/>
              </w:rPr>
              <w:t>4</w:t>
            </w:r>
          </w:p>
        </w:tc>
        <w:tc>
          <w:tcPr>
            <w:tcW w:w="2267" w:type="dxa"/>
            <w:gridSpan w:val="2"/>
            <w:shd w:val="clear" w:color="auto" w:fill="auto"/>
            <w:vAlign w:val="center"/>
          </w:tcPr>
          <w:p>
            <w:pPr>
              <w:adjustRightInd w:val="0"/>
              <w:snapToGrid w:val="0"/>
            </w:pPr>
            <w:r>
              <w:rPr>
                <w:rFonts w:hint="eastAsia"/>
              </w:rPr>
              <w:t>检测人员配备</w:t>
            </w:r>
          </w:p>
        </w:tc>
        <w:tc>
          <w:tcPr>
            <w:tcW w:w="3827" w:type="dxa"/>
            <w:shd w:val="clear" w:color="auto" w:fill="auto"/>
            <w:vAlign w:val="center"/>
          </w:tcPr>
          <w:p>
            <w:pPr>
              <w:adjustRightInd w:val="0"/>
              <w:snapToGrid w:val="0"/>
              <w:rPr>
                <w:rFonts w:ascii="宋体" w:hAnsi="宋体" w:cs="宋体"/>
                <w:kern w:val="0"/>
                <w:szCs w:val="21"/>
              </w:rPr>
            </w:pPr>
            <w:r>
              <w:rPr>
                <w:rFonts w:hint="eastAsia" w:ascii="宋体" w:hAnsi="宋体" w:cs="宋体"/>
                <w:kern w:val="0"/>
                <w:szCs w:val="21"/>
              </w:rPr>
              <w:t>配备专职实验室检测人员，检测人员具有相关教育背景，掌握检测方法、标准和操作。</w:t>
            </w:r>
          </w:p>
        </w:tc>
        <w:tc>
          <w:tcPr>
            <w:tcW w:w="3969" w:type="dxa"/>
            <w:shd w:val="clear" w:color="auto" w:fill="auto"/>
            <w:vAlign w:val="center"/>
          </w:tcPr>
          <w:p>
            <w:pPr>
              <w:adjustRightInd w:val="0"/>
              <w:snapToGrid w:val="0"/>
              <w:rPr>
                <w:rFonts w:ascii="宋体" w:hAnsi="宋体" w:cs="宋体"/>
                <w:kern w:val="0"/>
                <w:szCs w:val="21"/>
              </w:rPr>
            </w:pPr>
            <w:r>
              <w:rPr>
                <w:rFonts w:hint="eastAsia" w:ascii="宋体" w:hAnsi="宋体" w:cs="宋体"/>
                <w:kern w:val="0"/>
                <w:szCs w:val="21"/>
              </w:rPr>
              <w:t>检测人员能够满足运行检</w:t>
            </w:r>
            <w:bookmarkStart w:id="0" w:name="_GoBack"/>
            <w:bookmarkEnd w:id="0"/>
            <w:r>
              <w:rPr>
                <w:rFonts w:hint="eastAsia" w:ascii="宋体" w:hAnsi="宋体" w:cs="宋体"/>
                <w:kern w:val="0"/>
                <w:szCs w:val="21"/>
              </w:rPr>
              <w:t>测工作需要，熟悉检测方法、标准和操作。</w:t>
            </w:r>
          </w:p>
        </w:tc>
        <w:tc>
          <w:tcPr>
            <w:tcW w:w="3402" w:type="dxa"/>
            <w:shd w:val="clear" w:color="auto" w:fill="auto"/>
            <w:vAlign w:val="center"/>
          </w:tcPr>
          <w:p>
            <w:pPr>
              <w:adjustRightInd w:val="0"/>
              <w:snapToGrid w:val="0"/>
              <w:rPr>
                <w:rFonts w:ascii="宋体" w:hAnsi="宋体" w:cs="宋体"/>
                <w:kern w:val="0"/>
                <w:szCs w:val="21"/>
              </w:rPr>
            </w:pPr>
            <w:r>
              <w:rPr>
                <w:rFonts w:hint="eastAsia" w:ascii="宋体" w:hAnsi="宋体" w:cs="宋体"/>
                <w:kern w:val="0"/>
                <w:szCs w:val="21"/>
              </w:rPr>
              <w:t>检测人员能够满足运行检测工作需要，熟悉检测方法、标准和操作。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vMerge w:val="restart"/>
            <w:shd w:val="clear" w:color="auto" w:fill="auto"/>
            <w:vAlign w:val="center"/>
          </w:tcPr>
          <w:p>
            <w:pPr>
              <w:adjustRightInd w:val="0"/>
              <w:snapToGrid w:val="0"/>
            </w:pPr>
            <w:r>
              <w:rPr>
                <w:rFonts w:hint="eastAsia"/>
              </w:rPr>
              <w:t>运行专业人员</w:t>
            </w:r>
          </w:p>
        </w:tc>
        <w:tc>
          <w:tcPr>
            <w:tcW w:w="426" w:type="dxa"/>
            <w:shd w:val="clear" w:color="auto" w:fill="auto"/>
            <w:vAlign w:val="center"/>
          </w:tcPr>
          <w:p>
            <w:pPr>
              <w:adjustRightInd w:val="0"/>
              <w:snapToGrid w:val="0"/>
            </w:pPr>
            <w:r>
              <w:rPr>
                <w:rFonts w:hint="eastAsia"/>
              </w:rPr>
              <w:t>5</w:t>
            </w:r>
          </w:p>
        </w:tc>
        <w:tc>
          <w:tcPr>
            <w:tcW w:w="2267" w:type="dxa"/>
            <w:gridSpan w:val="2"/>
            <w:shd w:val="clear" w:color="auto" w:fill="auto"/>
            <w:vAlign w:val="center"/>
          </w:tcPr>
          <w:p>
            <w:pPr>
              <w:adjustRightInd w:val="0"/>
              <w:snapToGrid w:val="0"/>
              <w:rPr>
                <w:sz w:val="32"/>
              </w:rPr>
            </w:pPr>
            <w:r>
              <w:rPr>
                <w:rFonts w:hint="eastAsia"/>
                <w:b w:val="0"/>
                <w:bCs w:val="0"/>
                <w:i w:val="0"/>
                <w:iCs w:val="0"/>
              </w:rPr>
              <w:t>技术人员</w:t>
            </w:r>
          </w:p>
        </w:tc>
        <w:tc>
          <w:tcPr>
            <w:tcW w:w="3827" w:type="dxa"/>
            <w:shd w:val="clear" w:color="auto" w:fill="auto"/>
            <w:vAlign w:val="center"/>
          </w:tcPr>
          <w:p>
            <w:pPr>
              <w:adjustRightInd w:val="0"/>
              <w:snapToGrid w:val="0"/>
              <w:rPr>
                <w:rFonts w:hint="eastAsia" w:ascii="宋体" w:hAnsi="宋体" w:cs="宋体"/>
                <w:kern w:val="0"/>
                <w:szCs w:val="21"/>
              </w:rPr>
            </w:pPr>
            <w:r>
              <w:rPr>
                <w:rFonts w:hint="eastAsia" w:ascii="宋体" w:hAnsi="宋体" w:cs="宋体"/>
                <w:kern w:val="0"/>
                <w:szCs w:val="21"/>
              </w:rPr>
              <w:t>具备不少于</w:t>
            </w:r>
            <w:r>
              <w:rPr>
                <w:rFonts w:hint="eastAsia" w:ascii="宋体" w:hAnsi="宋体" w:cs="宋体"/>
                <w:b w:val="0"/>
                <w:bCs w:val="0"/>
                <w:i w:val="0"/>
                <w:iCs w:val="0"/>
                <w:kern w:val="0"/>
                <w:szCs w:val="21"/>
              </w:rPr>
              <w:t>2名</w:t>
            </w:r>
            <w:r>
              <w:rPr>
                <w:rFonts w:hint="eastAsia" w:ascii="宋体" w:hAnsi="宋体" w:cs="宋体"/>
                <w:kern w:val="0"/>
                <w:szCs w:val="21"/>
              </w:rPr>
              <w:t>与运行专业类别相适应的、具有</w:t>
            </w:r>
            <w:r>
              <w:rPr>
                <w:rFonts w:hint="eastAsia" w:ascii="宋体" w:hAnsi="宋体" w:cs="宋体"/>
                <w:b w:val="0"/>
                <w:bCs w:val="0"/>
                <w:i w:val="0"/>
                <w:iCs w:val="0"/>
                <w:kern w:val="0"/>
                <w:szCs w:val="21"/>
              </w:rPr>
              <w:t>高级技术职称证</w:t>
            </w:r>
            <w:r>
              <w:rPr>
                <w:rFonts w:hint="eastAsia" w:ascii="宋体" w:hAnsi="宋体" w:cs="宋体"/>
                <w:kern w:val="0"/>
                <w:szCs w:val="21"/>
              </w:rPr>
              <w:t>（或</w:t>
            </w:r>
            <w:r>
              <w:rPr>
                <w:rFonts w:hint="eastAsia" w:ascii="宋体" w:hAnsi="宋体" w:cs="宋体"/>
                <w:b w:val="0"/>
                <w:bCs w:val="0"/>
                <w:i w:val="0"/>
                <w:iCs w:val="0"/>
                <w:kern w:val="0"/>
                <w:szCs w:val="21"/>
                <w:lang w:val="en-US" w:eastAsia="zh-CN"/>
              </w:rPr>
              <w:t>4</w:t>
            </w:r>
            <w:r>
              <w:rPr>
                <w:rFonts w:hint="eastAsia" w:ascii="宋体" w:hAnsi="宋体" w:cs="宋体"/>
                <w:i w:val="0"/>
                <w:iCs w:val="0"/>
                <w:kern w:val="0"/>
                <w:szCs w:val="21"/>
                <w:lang w:val="en-US" w:eastAsia="zh-CN"/>
              </w:rPr>
              <w:t>名</w:t>
            </w:r>
            <w:r>
              <w:rPr>
                <w:rFonts w:hint="eastAsia" w:ascii="宋体" w:hAnsi="宋体" w:cs="宋体"/>
                <w:kern w:val="0"/>
                <w:szCs w:val="21"/>
              </w:rPr>
              <w:t>从事本领域工作5年以上的</w:t>
            </w:r>
            <w:r>
              <w:rPr>
                <w:rFonts w:hint="eastAsia" w:ascii="宋体" w:hAnsi="宋体" w:cs="宋体"/>
                <w:b w:val="0"/>
                <w:bCs w:val="0"/>
                <w:i w:val="0"/>
                <w:iCs w:val="0"/>
                <w:kern w:val="0"/>
                <w:szCs w:val="21"/>
              </w:rPr>
              <w:t>中级技术职称</w:t>
            </w:r>
            <w:r>
              <w:rPr>
                <w:rFonts w:hint="eastAsia" w:ascii="宋体" w:hAnsi="宋体" w:cs="宋体"/>
                <w:kern w:val="0"/>
                <w:szCs w:val="21"/>
              </w:rPr>
              <w:t>）的技术人员,</w:t>
            </w:r>
            <w:r>
              <w:rPr>
                <w:rFonts w:hint="eastAsia" w:ascii="宋体" w:hAnsi="宋体" w:cs="宋体"/>
                <w:kern w:val="0"/>
                <w:szCs w:val="21"/>
                <w:lang w:val="en-US" w:eastAsia="zh-CN"/>
              </w:rPr>
              <w:t>或</w:t>
            </w:r>
            <w:r>
              <w:rPr>
                <w:rFonts w:hint="eastAsia" w:ascii="宋体" w:hAnsi="宋体" w:cs="宋体"/>
                <w:b w:val="0"/>
                <w:bCs w:val="0"/>
                <w:i w:val="0"/>
                <w:iCs w:val="0"/>
                <w:kern w:val="0"/>
                <w:szCs w:val="21"/>
                <w:lang w:val="en-US" w:eastAsia="zh-CN"/>
              </w:rPr>
              <w:t>12</w:t>
            </w:r>
            <w:r>
              <w:rPr>
                <w:rFonts w:hint="eastAsia" w:ascii="宋体" w:hAnsi="宋体" w:cs="宋体"/>
                <w:b w:val="0"/>
                <w:bCs w:val="0"/>
                <w:i w:val="0"/>
                <w:iCs w:val="0"/>
                <w:kern w:val="0"/>
                <w:szCs w:val="21"/>
              </w:rPr>
              <w:t>名</w:t>
            </w:r>
            <w:r>
              <w:rPr>
                <w:rFonts w:hint="eastAsia" w:ascii="宋体" w:hAnsi="宋体" w:cs="宋体"/>
                <w:kern w:val="0"/>
                <w:szCs w:val="21"/>
                <w:lang w:val="en-US" w:eastAsia="zh-CN"/>
              </w:rPr>
              <w:t>取得</w:t>
            </w:r>
            <w:r>
              <w:rPr>
                <w:rFonts w:hint="eastAsia" w:ascii="宋体" w:hAnsi="宋体" w:cs="宋体"/>
                <w:b w:val="0"/>
                <w:bCs w:val="0"/>
                <w:i w:val="0"/>
                <w:iCs w:val="0"/>
                <w:kern w:val="0"/>
                <w:szCs w:val="21"/>
                <w:lang w:val="en-US" w:eastAsia="zh-CN"/>
              </w:rPr>
              <w:t>三级/高级工</w:t>
            </w:r>
            <w:r>
              <w:rPr>
                <w:rFonts w:hint="eastAsia" w:ascii="宋体" w:hAnsi="宋体" w:cs="宋体"/>
                <w:kern w:val="0"/>
                <w:szCs w:val="21"/>
              </w:rPr>
              <w:t>职业技能等级证书的</w:t>
            </w:r>
            <w:r>
              <w:rPr>
                <w:rFonts w:hint="eastAsia" w:ascii="宋体" w:hAnsi="宋体" w:cs="宋体"/>
                <w:kern w:val="0"/>
                <w:szCs w:val="21"/>
                <w:lang w:val="en-US" w:eastAsia="zh-CN"/>
              </w:rPr>
              <w:t>技能</w:t>
            </w:r>
            <w:r>
              <w:rPr>
                <w:rFonts w:hint="eastAsia" w:ascii="宋体" w:hAnsi="宋体" w:cs="宋体"/>
                <w:kern w:val="0"/>
                <w:szCs w:val="21"/>
              </w:rPr>
              <w:t>人员。</w:t>
            </w:r>
          </w:p>
        </w:tc>
        <w:tc>
          <w:tcPr>
            <w:tcW w:w="3969" w:type="dxa"/>
            <w:shd w:val="clear" w:color="auto" w:fill="auto"/>
            <w:vAlign w:val="center"/>
          </w:tcPr>
          <w:p>
            <w:pPr>
              <w:adjustRightInd w:val="0"/>
              <w:snapToGrid w:val="0"/>
              <w:rPr>
                <w:rFonts w:hint="eastAsia" w:ascii="宋体" w:hAnsi="宋体" w:cs="宋体"/>
                <w:kern w:val="0"/>
                <w:szCs w:val="21"/>
              </w:rPr>
            </w:pPr>
            <w:r>
              <w:rPr>
                <w:rFonts w:hint="eastAsia" w:ascii="宋体" w:hAnsi="宋体" w:cs="宋体"/>
                <w:kern w:val="0"/>
                <w:szCs w:val="21"/>
              </w:rPr>
              <w:t>具备不少于</w:t>
            </w:r>
            <w:r>
              <w:rPr>
                <w:rFonts w:hint="eastAsia" w:ascii="宋体" w:hAnsi="宋体" w:cs="宋体"/>
                <w:b w:val="0"/>
                <w:bCs w:val="0"/>
                <w:i w:val="0"/>
                <w:iCs w:val="0"/>
                <w:kern w:val="0"/>
                <w:szCs w:val="21"/>
              </w:rPr>
              <w:t>1名</w:t>
            </w:r>
            <w:r>
              <w:rPr>
                <w:rFonts w:hint="eastAsia" w:ascii="宋体" w:hAnsi="宋体" w:cs="宋体"/>
                <w:kern w:val="0"/>
                <w:szCs w:val="21"/>
              </w:rPr>
              <w:t>与运行专业类别相适应的、具有</w:t>
            </w:r>
            <w:r>
              <w:rPr>
                <w:rFonts w:hint="eastAsia" w:ascii="宋体" w:hAnsi="宋体" w:cs="宋体"/>
                <w:b w:val="0"/>
                <w:bCs w:val="0"/>
                <w:i w:val="0"/>
                <w:iCs w:val="0"/>
                <w:kern w:val="0"/>
                <w:szCs w:val="21"/>
              </w:rPr>
              <w:t>高级技术职称</w:t>
            </w:r>
            <w:r>
              <w:rPr>
                <w:rFonts w:hint="eastAsia" w:ascii="宋体" w:hAnsi="宋体" w:cs="宋体"/>
                <w:kern w:val="0"/>
                <w:szCs w:val="21"/>
              </w:rPr>
              <w:t>（或</w:t>
            </w:r>
            <w:r>
              <w:rPr>
                <w:rFonts w:hint="eastAsia" w:ascii="宋体" w:hAnsi="宋体" w:cs="宋体"/>
                <w:b w:val="0"/>
                <w:bCs w:val="0"/>
                <w:i w:val="0"/>
                <w:iCs w:val="0"/>
                <w:kern w:val="0"/>
                <w:szCs w:val="21"/>
                <w:lang w:val="en-US" w:eastAsia="zh-CN"/>
              </w:rPr>
              <w:t>2名</w:t>
            </w:r>
            <w:r>
              <w:rPr>
                <w:rFonts w:hint="eastAsia" w:ascii="宋体" w:hAnsi="宋体" w:cs="宋体"/>
                <w:kern w:val="0"/>
                <w:szCs w:val="21"/>
              </w:rPr>
              <w:t>从事本领域工作5年以上的</w:t>
            </w:r>
            <w:r>
              <w:rPr>
                <w:rFonts w:hint="eastAsia" w:ascii="宋体" w:hAnsi="宋体" w:cs="宋体"/>
                <w:b w:val="0"/>
                <w:bCs w:val="0"/>
                <w:i w:val="0"/>
                <w:iCs w:val="0"/>
                <w:kern w:val="0"/>
                <w:szCs w:val="21"/>
              </w:rPr>
              <w:t>中级技术职称</w:t>
            </w:r>
            <w:r>
              <w:rPr>
                <w:rFonts w:hint="eastAsia" w:ascii="宋体" w:hAnsi="宋体" w:cs="宋体"/>
                <w:kern w:val="0"/>
                <w:szCs w:val="21"/>
              </w:rPr>
              <w:t>）的技术人员,</w:t>
            </w:r>
            <w:r>
              <w:rPr>
                <w:rFonts w:hint="eastAsia" w:ascii="宋体" w:hAnsi="宋体" w:cs="宋体"/>
                <w:kern w:val="0"/>
                <w:szCs w:val="21"/>
                <w:lang w:val="en-US" w:eastAsia="zh-CN"/>
              </w:rPr>
              <w:t>或</w:t>
            </w:r>
            <w:r>
              <w:rPr>
                <w:rFonts w:hint="eastAsia" w:ascii="宋体" w:hAnsi="宋体" w:cs="宋体"/>
                <w:b w:val="0"/>
                <w:bCs w:val="0"/>
                <w:kern w:val="0"/>
                <w:szCs w:val="21"/>
                <w:lang w:val="en-US" w:eastAsia="zh-CN"/>
              </w:rPr>
              <w:t>6</w:t>
            </w:r>
            <w:r>
              <w:rPr>
                <w:rFonts w:hint="eastAsia" w:ascii="宋体" w:hAnsi="宋体" w:cs="宋体"/>
                <w:b w:val="0"/>
                <w:bCs w:val="0"/>
                <w:kern w:val="0"/>
                <w:szCs w:val="21"/>
              </w:rPr>
              <w:t>名</w:t>
            </w:r>
            <w:r>
              <w:rPr>
                <w:rFonts w:hint="eastAsia" w:ascii="宋体" w:hAnsi="宋体" w:cs="宋体"/>
                <w:kern w:val="0"/>
                <w:szCs w:val="21"/>
                <w:lang w:val="en-US" w:eastAsia="zh-CN"/>
              </w:rPr>
              <w:t>取得</w:t>
            </w:r>
            <w:r>
              <w:rPr>
                <w:rFonts w:hint="eastAsia" w:ascii="宋体" w:hAnsi="宋体" w:cs="宋体"/>
                <w:b w:val="0"/>
                <w:bCs w:val="0"/>
                <w:i w:val="0"/>
                <w:iCs w:val="0"/>
                <w:kern w:val="0"/>
                <w:szCs w:val="21"/>
                <w:lang w:val="en-US" w:eastAsia="zh-CN"/>
              </w:rPr>
              <w:t>三级/高级工</w:t>
            </w:r>
            <w:r>
              <w:rPr>
                <w:rFonts w:hint="eastAsia" w:ascii="宋体" w:hAnsi="宋体" w:cs="宋体"/>
                <w:kern w:val="0"/>
                <w:szCs w:val="21"/>
              </w:rPr>
              <w:t>职业技能等级证书的</w:t>
            </w:r>
            <w:r>
              <w:rPr>
                <w:rFonts w:hint="eastAsia" w:ascii="宋体" w:hAnsi="宋体" w:cs="宋体"/>
                <w:kern w:val="0"/>
                <w:szCs w:val="21"/>
                <w:lang w:val="en-US" w:eastAsia="zh-CN"/>
              </w:rPr>
              <w:t>技能</w:t>
            </w:r>
            <w:r>
              <w:rPr>
                <w:rFonts w:hint="eastAsia" w:ascii="宋体" w:hAnsi="宋体" w:cs="宋体"/>
                <w:kern w:val="0"/>
                <w:szCs w:val="21"/>
              </w:rPr>
              <w:t>人员。</w:t>
            </w:r>
          </w:p>
        </w:tc>
        <w:tc>
          <w:tcPr>
            <w:tcW w:w="3402" w:type="dxa"/>
            <w:shd w:val="clear" w:color="auto" w:fill="auto"/>
            <w:vAlign w:val="center"/>
          </w:tcPr>
          <w:p>
            <w:pPr>
              <w:adjustRightInd w:val="0"/>
              <w:snapToGrid w:val="0"/>
              <w:rPr>
                <w:rFonts w:hint="eastAsia" w:ascii="宋体" w:hAnsi="宋体" w:cs="宋体"/>
                <w:kern w:val="0"/>
                <w:szCs w:val="21"/>
              </w:rPr>
            </w:pPr>
            <w:r>
              <w:rPr>
                <w:rFonts w:hint="eastAsia" w:ascii="宋体" w:hAnsi="宋体" w:cs="宋体"/>
                <w:kern w:val="0"/>
                <w:szCs w:val="21"/>
              </w:rPr>
              <w:t>具备不少于</w:t>
            </w:r>
            <w:r>
              <w:rPr>
                <w:rFonts w:hint="eastAsia" w:ascii="宋体" w:hAnsi="宋体" w:cs="宋体"/>
                <w:b w:val="0"/>
                <w:bCs w:val="0"/>
                <w:i w:val="0"/>
                <w:iCs w:val="0"/>
                <w:kern w:val="0"/>
                <w:szCs w:val="21"/>
              </w:rPr>
              <w:t>1名</w:t>
            </w:r>
            <w:r>
              <w:rPr>
                <w:rFonts w:hint="eastAsia" w:ascii="宋体" w:hAnsi="宋体" w:cs="宋体"/>
                <w:kern w:val="0"/>
                <w:szCs w:val="21"/>
              </w:rPr>
              <w:t>与运行专业类别相适应的、具有</w:t>
            </w:r>
            <w:r>
              <w:rPr>
                <w:rFonts w:hint="eastAsia" w:ascii="宋体" w:hAnsi="宋体" w:cs="宋体"/>
                <w:b w:val="0"/>
                <w:bCs w:val="0"/>
                <w:i w:val="0"/>
                <w:iCs w:val="0"/>
                <w:kern w:val="0"/>
                <w:szCs w:val="21"/>
              </w:rPr>
              <w:t>中级技术职称</w:t>
            </w:r>
            <w:r>
              <w:rPr>
                <w:rFonts w:hint="eastAsia" w:ascii="宋体" w:hAnsi="宋体" w:cs="宋体"/>
                <w:kern w:val="0"/>
                <w:szCs w:val="21"/>
                <w:lang w:eastAsia="zh-CN"/>
              </w:rPr>
              <w:t>的</w:t>
            </w:r>
            <w:r>
              <w:rPr>
                <w:rFonts w:hint="eastAsia" w:ascii="宋体" w:hAnsi="宋体" w:cs="宋体"/>
                <w:kern w:val="0"/>
                <w:szCs w:val="21"/>
                <w:lang w:val="en-US" w:eastAsia="zh-CN"/>
              </w:rPr>
              <w:t>技术人员</w:t>
            </w:r>
            <w:r>
              <w:rPr>
                <w:rFonts w:hint="eastAsia" w:ascii="宋体" w:hAnsi="宋体" w:cs="宋体"/>
                <w:kern w:val="0"/>
                <w:szCs w:val="21"/>
              </w:rPr>
              <w:t>或</w:t>
            </w:r>
            <w:r>
              <w:rPr>
                <w:rFonts w:hint="eastAsia" w:ascii="宋体" w:hAnsi="宋体" w:cs="宋体"/>
                <w:b w:val="0"/>
                <w:bCs w:val="0"/>
                <w:i w:val="0"/>
                <w:iCs w:val="0"/>
                <w:kern w:val="0"/>
                <w:szCs w:val="21"/>
                <w:lang w:val="en-US" w:eastAsia="zh-CN"/>
              </w:rPr>
              <w:t>3名</w:t>
            </w:r>
            <w:r>
              <w:rPr>
                <w:rFonts w:hint="eastAsia" w:ascii="宋体" w:hAnsi="宋体" w:cs="宋体"/>
                <w:kern w:val="0"/>
                <w:szCs w:val="21"/>
              </w:rPr>
              <w:t>取得</w:t>
            </w:r>
            <w:r>
              <w:rPr>
                <w:rFonts w:hint="eastAsia" w:ascii="宋体" w:hAnsi="宋体" w:cs="宋体"/>
                <w:b w:val="0"/>
                <w:bCs w:val="0"/>
                <w:i w:val="0"/>
                <w:iCs w:val="0"/>
                <w:kern w:val="0"/>
                <w:szCs w:val="21"/>
                <w:lang w:val="en-US" w:eastAsia="zh-CN"/>
              </w:rPr>
              <w:t>三级/高级工</w:t>
            </w:r>
            <w:r>
              <w:rPr>
                <w:rFonts w:hint="eastAsia" w:ascii="宋体" w:hAnsi="宋体" w:cs="宋体"/>
                <w:kern w:val="0"/>
                <w:szCs w:val="21"/>
              </w:rPr>
              <w:t>职业技能等级证书的</w:t>
            </w:r>
            <w:r>
              <w:rPr>
                <w:rFonts w:hint="eastAsia" w:ascii="宋体" w:hAnsi="宋体" w:cs="宋体"/>
                <w:kern w:val="0"/>
                <w:szCs w:val="21"/>
                <w:lang w:val="en-US" w:eastAsia="zh-CN"/>
              </w:rPr>
              <w:t>技能</w:t>
            </w:r>
            <w:r>
              <w:rPr>
                <w:rFonts w:hint="eastAsia" w:ascii="宋体" w:hAnsi="宋体" w:cs="宋体"/>
                <w:kern w:val="0"/>
                <w:szCs w:val="21"/>
              </w:rPr>
              <w:t>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vMerge w:val="continue"/>
            <w:shd w:val="clear" w:color="auto" w:fill="auto"/>
            <w:vAlign w:val="center"/>
          </w:tcPr>
          <w:p>
            <w:pPr>
              <w:adjustRightInd w:val="0"/>
              <w:snapToGrid w:val="0"/>
            </w:pPr>
          </w:p>
        </w:tc>
        <w:tc>
          <w:tcPr>
            <w:tcW w:w="426" w:type="dxa"/>
            <w:shd w:val="clear" w:color="auto" w:fill="auto"/>
            <w:vAlign w:val="center"/>
          </w:tcPr>
          <w:p>
            <w:pPr>
              <w:adjustRightInd w:val="0"/>
              <w:snapToGrid w:val="0"/>
            </w:pPr>
            <w:r>
              <w:rPr>
                <w:rFonts w:hint="eastAsia"/>
              </w:rPr>
              <w:t>6</w:t>
            </w:r>
          </w:p>
        </w:tc>
        <w:tc>
          <w:tcPr>
            <w:tcW w:w="2267" w:type="dxa"/>
            <w:gridSpan w:val="2"/>
            <w:shd w:val="clear" w:color="auto" w:fill="auto"/>
            <w:vAlign w:val="center"/>
          </w:tcPr>
          <w:p>
            <w:pPr>
              <w:adjustRightInd w:val="0"/>
              <w:snapToGrid w:val="0"/>
            </w:pPr>
            <w:r>
              <w:rPr>
                <w:rFonts w:hint="eastAsia"/>
              </w:rPr>
              <w:t>运行人员</w:t>
            </w:r>
          </w:p>
        </w:tc>
        <w:tc>
          <w:tcPr>
            <w:tcW w:w="3827" w:type="dxa"/>
            <w:shd w:val="clear" w:color="auto" w:fill="auto"/>
            <w:vAlign w:val="center"/>
          </w:tcPr>
          <w:p>
            <w:pPr>
              <w:adjustRightInd w:val="0"/>
              <w:snapToGrid w:val="0"/>
            </w:pPr>
            <w:r>
              <w:rPr>
                <w:rFonts w:hint="eastAsia" w:ascii="宋体" w:hAnsi="宋体" w:cs="宋体"/>
                <w:kern w:val="0"/>
                <w:szCs w:val="21"/>
              </w:rPr>
              <w:t>具备不少于2</w:t>
            </w:r>
            <w:r>
              <w:rPr>
                <w:rFonts w:ascii="宋体" w:hAnsi="宋体" w:cs="宋体"/>
                <w:kern w:val="0"/>
                <w:szCs w:val="21"/>
              </w:rPr>
              <w:t>0</w:t>
            </w:r>
            <w:r>
              <w:rPr>
                <w:rFonts w:hint="eastAsia" w:ascii="宋体" w:hAnsi="宋体" w:cs="宋体"/>
                <w:kern w:val="0"/>
                <w:szCs w:val="21"/>
              </w:rPr>
              <w:t>名与运行专业类别相适应的、取得污染治理设施运行人员考试合格证书的现场运行人员。</w:t>
            </w:r>
          </w:p>
        </w:tc>
        <w:tc>
          <w:tcPr>
            <w:tcW w:w="3969" w:type="dxa"/>
            <w:shd w:val="clear" w:color="auto" w:fill="auto"/>
            <w:vAlign w:val="center"/>
          </w:tcPr>
          <w:p>
            <w:pPr>
              <w:adjustRightInd w:val="0"/>
              <w:snapToGrid w:val="0"/>
            </w:pPr>
            <w:r>
              <w:rPr>
                <w:rFonts w:hint="eastAsia" w:ascii="宋体" w:hAnsi="宋体" w:cs="宋体"/>
                <w:kern w:val="0"/>
                <w:szCs w:val="21"/>
              </w:rPr>
              <w:t>具备不少于10名与运行专业类别相适应的、取得污染治理设施运行人员考试合格证书的现场运行人员。</w:t>
            </w:r>
          </w:p>
        </w:tc>
        <w:tc>
          <w:tcPr>
            <w:tcW w:w="3402" w:type="dxa"/>
            <w:shd w:val="clear" w:color="auto" w:fill="auto"/>
            <w:vAlign w:val="center"/>
          </w:tcPr>
          <w:p>
            <w:pPr>
              <w:adjustRightInd w:val="0"/>
              <w:snapToGrid w:val="0"/>
              <w:rPr>
                <w:spacing w:val="-2"/>
              </w:rPr>
            </w:pPr>
            <w:r>
              <w:rPr>
                <w:rFonts w:hint="eastAsia" w:ascii="宋体" w:hAnsi="宋体" w:cs="宋体"/>
                <w:kern w:val="0"/>
                <w:szCs w:val="21"/>
              </w:rPr>
              <w:t>具备不少于10名与运行专业类别相适应的、取得污染治理设施运行人员考试合格证书的现场运行人员。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 w:hRule="atLeast"/>
        </w:trPr>
        <w:tc>
          <w:tcPr>
            <w:tcW w:w="534" w:type="dxa"/>
            <w:vMerge w:val="restart"/>
            <w:shd w:val="clear" w:color="auto" w:fill="auto"/>
            <w:vAlign w:val="center"/>
          </w:tcPr>
          <w:p>
            <w:pPr>
              <w:adjustRightInd w:val="0"/>
              <w:snapToGrid w:val="0"/>
            </w:pPr>
            <w:r>
              <w:rPr>
                <w:rFonts w:hint="eastAsia"/>
              </w:rPr>
              <w:t>运行实践</w:t>
            </w:r>
          </w:p>
        </w:tc>
        <w:tc>
          <w:tcPr>
            <w:tcW w:w="426" w:type="dxa"/>
            <w:vMerge w:val="restart"/>
            <w:shd w:val="clear" w:color="auto" w:fill="auto"/>
            <w:vAlign w:val="center"/>
          </w:tcPr>
          <w:p>
            <w:pPr>
              <w:adjustRightInd w:val="0"/>
              <w:snapToGrid w:val="0"/>
            </w:pPr>
            <w:r>
              <w:rPr>
                <w:rFonts w:hint="eastAsia"/>
              </w:rPr>
              <w:t>7</w:t>
            </w:r>
          </w:p>
          <w:p>
            <w:pPr>
              <w:adjustRightInd w:val="0"/>
              <w:snapToGrid w:val="0"/>
            </w:pPr>
          </w:p>
        </w:tc>
        <w:tc>
          <w:tcPr>
            <w:tcW w:w="566" w:type="dxa"/>
            <w:vMerge w:val="restart"/>
            <w:shd w:val="clear" w:color="auto" w:fill="auto"/>
            <w:vAlign w:val="center"/>
          </w:tcPr>
          <w:p>
            <w:pPr>
              <w:adjustRightInd w:val="0"/>
              <w:snapToGrid w:val="0"/>
            </w:pPr>
            <w:r>
              <w:rPr>
                <w:rFonts w:hint="eastAsia"/>
              </w:rPr>
              <w:t>业</w:t>
            </w:r>
          </w:p>
          <w:p>
            <w:pPr>
              <w:adjustRightInd w:val="0"/>
              <w:snapToGrid w:val="0"/>
            </w:pPr>
            <w:r>
              <w:rPr>
                <w:rFonts w:hint="eastAsia"/>
              </w:rPr>
              <w:t>绩</w:t>
            </w:r>
          </w:p>
          <w:p>
            <w:pPr>
              <w:adjustRightInd w:val="0"/>
              <w:snapToGrid w:val="0"/>
              <w:rPr>
                <w:rFonts w:hint="eastAsia"/>
              </w:rPr>
            </w:pPr>
            <w:r>
              <w:rPr>
                <w:rFonts w:hint="eastAsia"/>
              </w:rPr>
              <w:t>要</w:t>
            </w:r>
          </w:p>
          <w:p>
            <w:pPr>
              <w:adjustRightInd w:val="0"/>
              <w:snapToGrid w:val="0"/>
            </w:pPr>
            <w:r>
              <w:rPr>
                <w:rFonts w:hint="eastAsia"/>
              </w:rPr>
              <w:t>求</w:t>
            </w:r>
          </w:p>
        </w:tc>
        <w:tc>
          <w:tcPr>
            <w:tcW w:w="1701" w:type="dxa"/>
            <w:shd w:val="clear" w:color="auto" w:fill="auto"/>
            <w:vAlign w:val="center"/>
          </w:tcPr>
          <w:p>
            <w:pPr>
              <w:widowControl/>
              <w:adjustRightInd w:val="0"/>
              <w:snapToGrid w:val="0"/>
              <w:rPr>
                <w:rFonts w:ascii="宋体" w:hAnsi="宋体" w:cs="宋体"/>
                <w:kern w:val="0"/>
                <w:szCs w:val="21"/>
              </w:rPr>
            </w:pPr>
            <w:r>
              <w:rPr>
                <w:rFonts w:hint="eastAsia" w:ascii="宋体" w:hAnsi="宋体" w:cs="宋体"/>
                <w:kern w:val="0"/>
                <w:szCs w:val="21"/>
              </w:rPr>
              <w:t>生活污水处理</w:t>
            </w:r>
          </w:p>
        </w:tc>
        <w:tc>
          <w:tcPr>
            <w:tcW w:w="3827" w:type="dxa"/>
            <w:shd w:val="clear" w:color="auto" w:fill="auto"/>
            <w:vAlign w:val="center"/>
          </w:tcPr>
          <w:p>
            <w:pPr>
              <w:widowControl/>
              <w:adjustRightInd w:val="0"/>
              <w:snapToGrid w:val="0"/>
              <w:rPr>
                <w:rFonts w:ascii="宋体" w:hAnsi="宋体" w:cs="宋体"/>
                <w:kern w:val="0"/>
                <w:szCs w:val="21"/>
              </w:rPr>
            </w:pPr>
            <w:r>
              <w:rPr>
                <w:rFonts w:hint="eastAsia" w:ascii="宋体" w:hAnsi="宋体" w:cs="宋体"/>
                <w:kern w:val="0"/>
                <w:szCs w:val="21"/>
              </w:rPr>
              <w:t>运行的城镇污水处理设施的处理能力之和≥</w:t>
            </w:r>
            <w:r>
              <w:rPr>
                <w:rFonts w:ascii="宋体" w:hAnsi="宋体" w:cs="宋体"/>
                <w:kern w:val="0"/>
                <w:szCs w:val="21"/>
              </w:rPr>
              <w:t>20万吨/天，</w:t>
            </w:r>
            <w:r>
              <w:rPr>
                <w:rFonts w:hint="eastAsia" w:ascii="宋体" w:hAnsi="宋体" w:cs="宋体"/>
                <w:kern w:val="0"/>
                <w:szCs w:val="21"/>
              </w:rPr>
              <w:t>或</w:t>
            </w:r>
            <w:r>
              <w:rPr>
                <w:rFonts w:ascii="宋体" w:hAnsi="宋体" w:cs="宋体"/>
                <w:kern w:val="0"/>
                <w:szCs w:val="21"/>
              </w:rPr>
              <w:t>至少有1个设施的处理能力</w:t>
            </w:r>
            <w:r>
              <w:rPr>
                <w:rFonts w:hint="eastAsia" w:ascii="宋体" w:hAnsi="宋体" w:cs="宋体"/>
                <w:kern w:val="0"/>
                <w:szCs w:val="21"/>
              </w:rPr>
              <w:t>≥</w:t>
            </w:r>
            <w:r>
              <w:rPr>
                <w:rFonts w:ascii="宋体" w:hAnsi="宋体" w:cs="宋体"/>
                <w:kern w:val="0"/>
                <w:szCs w:val="21"/>
              </w:rPr>
              <w:t>5万吨/天。</w:t>
            </w:r>
          </w:p>
        </w:tc>
        <w:tc>
          <w:tcPr>
            <w:tcW w:w="3969" w:type="dxa"/>
            <w:shd w:val="clear" w:color="auto" w:fill="auto"/>
            <w:vAlign w:val="center"/>
          </w:tcPr>
          <w:p>
            <w:pPr>
              <w:widowControl/>
              <w:adjustRightInd w:val="0"/>
              <w:snapToGrid w:val="0"/>
              <w:rPr>
                <w:rFonts w:ascii="宋体" w:hAnsi="宋体" w:cs="宋体"/>
                <w:kern w:val="0"/>
                <w:szCs w:val="21"/>
              </w:rPr>
            </w:pPr>
            <w:r>
              <w:rPr>
                <w:rFonts w:hint="eastAsia" w:ascii="宋体" w:hAnsi="宋体" w:cs="宋体"/>
                <w:kern w:val="0"/>
                <w:szCs w:val="21"/>
              </w:rPr>
              <w:t>运行的城镇污水处理设施的处理能力之和≥1万吨/天，或至少有1个设施的处理能力≥2000吨/天。</w:t>
            </w:r>
          </w:p>
        </w:tc>
        <w:tc>
          <w:tcPr>
            <w:tcW w:w="3402" w:type="dxa"/>
            <w:shd w:val="clear" w:color="auto" w:fill="auto"/>
            <w:vAlign w:val="center"/>
          </w:tcPr>
          <w:p>
            <w:pPr>
              <w:adjustRightInd w:val="0"/>
              <w:snapToGrid w:val="0"/>
              <w:jc w:val="center"/>
              <w:rPr>
                <w:rFonts w:ascii="宋体" w:hAnsi="宋体" w:cs="宋体"/>
                <w:kern w:val="0"/>
                <w:szCs w:val="21"/>
              </w:rPr>
            </w:pPr>
            <w:r>
              <w:rPr>
                <w:rFonts w:hint="eastAsia" w:ascii="宋体" w:hAnsi="宋体" w:cs="宋体"/>
                <w:kern w:val="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 w:hRule="atLeast"/>
        </w:trPr>
        <w:tc>
          <w:tcPr>
            <w:tcW w:w="534" w:type="dxa"/>
            <w:vMerge w:val="continue"/>
            <w:shd w:val="clear" w:color="auto" w:fill="auto"/>
            <w:vAlign w:val="center"/>
          </w:tcPr>
          <w:p>
            <w:pPr>
              <w:adjustRightInd w:val="0"/>
              <w:snapToGrid w:val="0"/>
              <w:rPr>
                <w:rFonts w:hint="eastAsia"/>
              </w:rPr>
            </w:pPr>
          </w:p>
        </w:tc>
        <w:tc>
          <w:tcPr>
            <w:tcW w:w="426" w:type="dxa"/>
            <w:vMerge w:val="continue"/>
            <w:shd w:val="clear" w:color="auto" w:fill="auto"/>
            <w:vAlign w:val="center"/>
          </w:tcPr>
          <w:p>
            <w:pPr>
              <w:adjustRightInd w:val="0"/>
              <w:snapToGrid w:val="0"/>
              <w:rPr>
                <w:rFonts w:hint="eastAsia"/>
              </w:rPr>
            </w:pPr>
          </w:p>
        </w:tc>
        <w:tc>
          <w:tcPr>
            <w:tcW w:w="566" w:type="dxa"/>
            <w:vMerge w:val="continue"/>
            <w:shd w:val="clear" w:color="auto" w:fill="auto"/>
            <w:vAlign w:val="center"/>
          </w:tcPr>
          <w:p>
            <w:pPr>
              <w:adjustRightInd w:val="0"/>
              <w:snapToGrid w:val="0"/>
              <w:rPr>
                <w:rFonts w:hint="eastAsia"/>
              </w:rPr>
            </w:pPr>
          </w:p>
        </w:tc>
        <w:tc>
          <w:tcPr>
            <w:tcW w:w="1701" w:type="dxa"/>
            <w:shd w:val="clear" w:color="auto" w:fill="auto"/>
            <w:vAlign w:val="center"/>
          </w:tcPr>
          <w:p>
            <w:pPr>
              <w:widowControl/>
              <w:adjustRightInd w:val="0"/>
              <w:snapToGrid w:val="0"/>
              <w:rPr>
                <w:rFonts w:hint="eastAsia" w:ascii="宋体" w:hAnsi="宋体" w:cs="宋体"/>
                <w:kern w:val="0"/>
                <w:szCs w:val="21"/>
              </w:rPr>
            </w:pPr>
            <w:r>
              <w:rPr>
                <w:rFonts w:hint="eastAsia" w:ascii="宋体" w:hAnsi="宋体" w:cs="宋体"/>
                <w:kern w:val="0"/>
                <w:szCs w:val="21"/>
              </w:rPr>
              <w:t>医院废水处理</w:t>
            </w:r>
          </w:p>
        </w:tc>
        <w:tc>
          <w:tcPr>
            <w:tcW w:w="3827" w:type="dxa"/>
            <w:shd w:val="clear" w:color="auto" w:fill="auto"/>
            <w:vAlign w:val="center"/>
          </w:tcPr>
          <w:p>
            <w:pPr>
              <w:widowControl/>
              <w:adjustRightInd w:val="0"/>
              <w:snapToGrid w:val="0"/>
              <w:rPr>
                <w:rFonts w:ascii="宋体" w:hAnsi="宋体" w:cs="宋体"/>
                <w:kern w:val="0"/>
                <w:szCs w:val="21"/>
              </w:rPr>
            </w:pPr>
            <w:r>
              <w:rPr>
                <w:rFonts w:hint="eastAsia" w:ascii="宋体" w:hAnsi="宋体" w:cs="宋体"/>
                <w:kern w:val="0"/>
                <w:szCs w:val="21"/>
              </w:rPr>
              <w:t>运行的医院污水处理设施的处理能力之和≥2</w:t>
            </w:r>
            <w:r>
              <w:rPr>
                <w:rFonts w:ascii="宋体" w:hAnsi="宋体" w:cs="宋体"/>
                <w:kern w:val="0"/>
                <w:szCs w:val="21"/>
              </w:rPr>
              <w:t>万吨/天，</w:t>
            </w:r>
            <w:r>
              <w:rPr>
                <w:rFonts w:hint="eastAsia" w:ascii="宋体" w:hAnsi="宋体" w:cs="宋体"/>
                <w:kern w:val="0"/>
                <w:szCs w:val="21"/>
              </w:rPr>
              <w:t>或</w:t>
            </w:r>
            <w:r>
              <w:rPr>
                <w:rFonts w:ascii="宋体" w:hAnsi="宋体" w:cs="宋体"/>
                <w:kern w:val="0"/>
                <w:szCs w:val="21"/>
              </w:rPr>
              <w:t>至少有1个设施的处理能力</w:t>
            </w:r>
            <w:r>
              <w:rPr>
                <w:rFonts w:hint="eastAsia" w:ascii="宋体" w:hAnsi="宋体" w:cs="宋体"/>
                <w:kern w:val="0"/>
                <w:szCs w:val="21"/>
              </w:rPr>
              <w:t>≥2000</w:t>
            </w:r>
            <w:r>
              <w:rPr>
                <w:rFonts w:ascii="宋体" w:hAnsi="宋体" w:cs="宋体"/>
                <w:kern w:val="0"/>
                <w:szCs w:val="21"/>
              </w:rPr>
              <w:t>吨/天。</w:t>
            </w:r>
          </w:p>
        </w:tc>
        <w:tc>
          <w:tcPr>
            <w:tcW w:w="3969" w:type="dxa"/>
            <w:shd w:val="clear" w:color="auto" w:fill="auto"/>
            <w:vAlign w:val="center"/>
          </w:tcPr>
          <w:p>
            <w:pPr>
              <w:widowControl/>
              <w:adjustRightInd w:val="0"/>
              <w:snapToGrid w:val="0"/>
              <w:rPr>
                <w:rFonts w:hint="eastAsia" w:ascii="宋体" w:hAnsi="宋体" w:cs="宋体"/>
                <w:kern w:val="0"/>
                <w:szCs w:val="21"/>
              </w:rPr>
            </w:pPr>
            <w:r>
              <w:rPr>
                <w:rFonts w:hint="eastAsia" w:ascii="宋体" w:hAnsi="宋体" w:cs="宋体"/>
                <w:kern w:val="0"/>
                <w:szCs w:val="21"/>
              </w:rPr>
              <w:t>运行的医院污水处理设施的处理能力之和≥5000吨/天，或至少有1个设施的处理能力≥1000吨/天。</w:t>
            </w:r>
          </w:p>
        </w:tc>
        <w:tc>
          <w:tcPr>
            <w:tcW w:w="3402" w:type="dxa"/>
            <w:shd w:val="clear" w:color="auto" w:fill="auto"/>
            <w:vAlign w:val="center"/>
          </w:tcPr>
          <w:p>
            <w:pPr>
              <w:adjustRightInd w:val="0"/>
              <w:snapToGrid w:val="0"/>
              <w:jc w:val="center"/>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 w:hRule="atLeast"/>
        </w:trPr>
        <w:tc>
          <w:tcPr>
            <w:tcW w:w="534" w:type="dxa"/>
            <w:vMerge w:val="continue"/>
            <w:shd w:val="clear" w:color="auto" w:fill="auto"/>
            <w:vAlign w:val="center"/>
          </w:tcPr>
          <w:p>
            <w:pPr>
              <w:adjustRightInd w:val="0"/>
              <w:snapToGrid w:val="0"/>
            </w:pPr>
          </w:p>
        </w:tc>
        <w:tc>
          <w:tcPr>
            <w:tcW w:w="426" w:type="dxa"/>
            <w:vMerge w:val="continue"/>
            <w:shd w:val="clear" w:color="auto" w:fill="auto"/>
            <w:vAlign w:val="center"/>
          </w:tcPr>
          <w:p>
            <w:pPr>
              <w:adjustRightInd w:val="0"/>
              <w:snapToGrid w:val="0"/>
            </w:pPr>
          </w:p>
        </w:tc>
        <w:tc>
          <w:tcPr>
            <w:tcW w:w="566" w:type="dxa"/>
            <w:vMerge w:val="continue"/>
            <w:shd w:val="clear" w:color="auto" w:fill="auto"/>
            <w:vAlign w:val="center"/>
          </w:tcPr>
          <w:p>
            <w:pPr>
              <w:adjustRightInd w:val="0"/>
              <w:snapToGrid w:val="0"/>
            </w:pPr>
          </w:p>
        </w:tc>
        <w:tc>
          <w:tcPr>
            <w:tcW w:w="1701" w:type="dxa"/>
            <w:shd w:val="clear" w:color="auto" w:fill="auto"/>
            <w:vAlign w:val="center"/>
          </w:tcPr>
          <w:p>
            <w:pPr>
              <w:widowControl/>
              <w:adjustRightInd w:val="0"/>
              <w:snapToGrid w:val="0"/>
              <w:jc w:val="left"/>
              <w:rPr>
                <w:rFonts w:ascii="宋体" w:hAnsi="宋体" w:cs="宋体"/>
                <w:kern w:val="0"/>
                <w:szCs w:val="21"/>
              </w:rPr>
            </w:pPr>
            <w:r>
              <w:rPr>
                <w:rFonts w:hint="eastAsia" w:ascii="宋体" w:hAnsi="宋体" w:cs="宋体"/>
                <w:kern w:val="0"/>
                <w:szCs w:val="21"/>
              </w:rPr>
              <w:t>工业废水处理</w:t>
            </w:r>
            <w:r>
              <w:rPr>
                <w:rFonts w:hint="eastAsia"/>
              </w:rPr>
              <w:t>*</w:t>
            </w:r>
          </w:p>
        </w:tc>
        <w:tc>
          <w:tcPr>
            <w:tcW w:w="3827" w:type="dxa"/>
            <w:shd w:val="clear" w:color="auto" w:fill="auto"/>
            <w:vAlign w:val="center"/>
          </w:tcPr>
          <w:p>
            <w:pPr>
              <w:widowControl/>
              <w:adjustRightInd w:val="0"/>
              <w:snapToGrid w:val="0"/>
              <w:rPr>
                <w:rFonts w:ascii="宋体" w:hAnsi="宋体" w:cs="宋体"/>
                <w:kern w:val="0"/>
                <w:szCs w:val="21"/>
              </w:rPr>
            </w:pPr>
            <w:r>
              <w:rPr>
                <w:rFonts w:hint="eastAsia" w:ascii="宋体" w:hAnsi="宋体" w:cs="宋体"/>
                <w:kern w:val="0"/>
                <w:szCs w:val="21"/>
              </w:rPr>
              <w:t>a.运行的工业园区废水处理设施或工业企业内废水处理设施的处理能力之和≥1万吨/天，或至少有1个设施的处理能力≥2000吨/天；</w:t>
            </w:r>
          </w:p>
          <w:p>
            <w:pPr>
              <w:widowControl/>
              <w:adjustRightInd w:val="0"/>
              <w:snapToGrid w:val="0"/>
              <w:rPr>
                <w:rFonts w:ascii="宋体" w:hAnsi="宋体" w:cs="宋体"/>
                <w:kern w:val="0"/>
                <w:szCs w:val="21"/>
              </w:rPr>
            </w:pPr>
            <w:r>
              <w:rPr>
                <w:rFonts w:hint="eastAsia" w:ascii="宋体" w:hAnsi="宋体" w:cs="宋体"/>
                <w:kern w:val="0"/>
                <w:szCs w:val="21"/>
              </w:rPr>
              <w:t>b.运行的垃圾渗滤液处理设施的处理能力之和≥1000吨/天，或至少有1个设施的处理能力≥200吨/天。</w:t>
            </w:r>
          </w:p>
        </w:tc>
        <w:tc>
          <w:tcPr>
            <w:tcW w:w="3969" w:type="dxa"/>
            <w:shd w:val="clear" w:color="auto" w:fill="auto"/>
            <w:vAlign w:val="center"/>
          </w:tcPr>
          <w:p>
            <w:pPr>
              <w:widowControl/>
              <w:adjustRightInd w:val="0"/>
              <w:snapToGrid w:val="0"/>
              <w:rPr>
                <w:rFonts w:ascii="宋体" w:hAnsi="宋体" w:cs="宋体"/>
                <w:kern w:val="0"/>
                <w:szCs w:val="21"/>
              </w:rPr>
            </w:pPr>
            <w:r>
              <w:rPr>
                <w:rFonts w:hint="eastAsia" w:ascii="宋体" w:hAnsi="宋体" w:cs="宋体"/>
                <w:kern w:val="0"/>
                <w:szCs w:val="21"/>
              </w:rPr>
              <w:t>a.运行的工业园区废水处理设施或工业企业内废水处理设施的处理能力之和≥1000吨/天，或至少有1个设施的处理能力≥200吨/天；</w:t>
            </w:r>
          </w:p>
          <w:p>
            <w:pPr>
              <w:widowControl/>
              <w:adjustRightInd w:val="0"/>
              <w:snapToGrid w:val="0"/>
              <w:rPr>
                <w:rFonts w:ascii="宋体" w:hAnsi="宋体" w:cs="宋体"/>
                <w:kern w:val="0"/>
                <w:szCs w:val="21"/>
              </w:rPr>
            </w:pPr>
            <w:r>
              <w:rPr>
                <w:rFonts w:hint="eastAsia" w:ascii="宋体" w:hAnsi="宋体" w:cs="宋体"/>
                <w:kern w:val="0"/>
                <w:szCs w:val="21"/>
              </w:rPr>
              <w:t xml:space="preserve">b.运行的垃圾渗滤液处理设施的处理能力之和≥100吨/天，或至少有1个设施的处理能力≥50吨/天。 </w:t>
            </w:r>
          </w:p>
        </w:tc>
        <w:tc>
          <w:tcPr>
            <w:tcW w:w="3402" w:type="dxa"/>
            <w:shd w:val="clear" w:color="auto" w:fill="auto"/>
            <w:vAlign w:val="center"/>
          </w:tcPr>
          <w:p>
            <w:pPr>
              <w:adjustRightInd w:val="0"/>
              <w:snapToGrid w:val="0"/>
              <w:jc w:val="center"/>
              <w:rPr>
                <w:rFonts w:ascii="宋体" w:hAnsi="宋体" w:cs="宋体"/>
                <w:kern w:val="0"/>
                <w:szCs w:val="21"/>
              </w:rPr>
            </w:pPr>
            <w:r>
              <w:rPr>
                <w:rFonts w:hint="eastAsia" w:ascii="宋体" w:hAnsi="宋体" w:cs="宋体"/>
                <w:kern w:val="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7" w:hRule="atLeast"/>
        </w:trPr>
        <w:tc>
          <w:tcPr>
            <w:tcW w:w="534" w:type="dxa"/>
            <w:vMerge w:val="continue"/>
            <w:shd w:val="clear" w:color="auto" w:fill="auto"/>
          </w:tcPr>
          <w:p>
            <w:pPr>
              <w:adjustRightInd w:val="0"/>
              <w:snapToGrid w:val="0"/>
            </w:pPr>
          </w:p>
        </w:tc>
        <w:tc>
          <w:tcPr>
            <w:tcW w:w="426" w:type="dxa"/>
            <w:vMerge w:val="continue"/>
            <w:shd w:val="clear" w:color="auto" w:fill="auto"/>
          </w:tcPr>
          <w:p>
            <w:pPr>
              <w:adjustRightInd w:val="0"/>
              <w:snapToGrid w:val="0"/>
            </w:pPr>
          </w:p>
        </w:tc>
        <w:tc>
          <w:tcPr>
            <w:tcW w:w="566" w:type="dxa"/>
            <w:vMerge w:val="continue"/>
            <w:shd w:val="clear" w:color="auto" w:fill="auto"/>
          </w:tcPr>
          <w:p>
            <w:pPr>
              <w:adjustRightInd w:val="0"/>
              <w:snapToGrid w:val="0"/>
            </w:pPr>
          </w:p>
        </w:tc>
        <w:tc>
          <w:tcPr>
            <w:tcW w:w="1701" w:type="dxa"/>
            <w:shd w:val="clear" w:color="auto" w:fill="auto"/>
            <w:vAlign w:val="center"/>
          </w:tcPr>
          <w:p>
            <w:pPr>
              <w:widowControl/>
              <w:adjustRightInd w:val="0"/>
              <w:snapToGrid w:val="0"/>
              <w:jc w:val="left"/>
              <w:rPr>
                <w:rFonts w:ascii="宋体" w:hAnsi="宋体" w:cs="宋体"/>
                <w:kern w:val="0"/>
                <w:szCs w:val="21"/>
              </w:rPr>
            </w:pPr>
            <w:r>
              <w:rPr>
                <w:rFonts w:hint="eastAsia" w:ascii="宋体" w:hAnsi="宋体" w:cs="宋体"/>
                <w:kern w:val="0"/>
                <w:szCs w:val="21"/>
              </w:rPr>
              <w:t>除尘脱硫脱硝</w:t>
            </w:r>
            <w:r>
              <w:rPr>
                <w:rFonts w:hint="eastAsia"/>
              </w:rPr>
              <w:t>*</w:t>
            </w:r>
          </w:p>
        </w:tc>
        <w:tc>
          <w:tcPr>
            <w:tcW w:w="3827" w:type="dxa"/>
            <w:shd w:val="clear" w:color="auto" w:fill="auto"/>
            <w:vAlign w:val="center"/>
          </w:tcPr>
          <w:p>
            <w:pPr>
              <w:widowControl/>
              <w:adjustRightInd w:val="0"/>
              <w:snapToGrid w:val="0"/>
              <w:rPr>
                <w:rFonts w:hint="eastAsia" w:ascii="宋体" w:hAnsi="宋体" w:cs="宋体"/>
                <w:kern w:val="0"/>
                <w:szCs w:val="21"/>
              </w:rPr>
            </w:pPr>
            <w:r>
              <w:rPr>
                <w:rFonts w:hint="eastAsia" w:ascii="宋体" w:hAnsi="宋体" w:cs="宋体"/>
                <w:kern w:val="0"/>
                <w:szCs w:val="21"/>
              </w:rPr>
              <w:t>应具有不少于5个设施的运行服务经验，且满足下列条件中的一项：</w:t>
            </w:r>
          </w:p>
          <w:p>
            <w:pPr>
              <w:widowControl/>
              <w:adjustRightInd w:val="0"/>
              <w:snapToGrid w:val="0"/>
              <w:rPr>
                <w:rFonts w:ascii="宋体" w:hAnsi="宋体" w:cs="宋体"/>
                <w:kern w:val="0"/>
                <w:szCs w:val="21"/>
              </w:rPr>
            </w:pPr>
            <w:r>
              <w:rPr>
                <w:rFonts w:hint="eastAsia" w:ascii="宋体" w:hAnsi="宋体" w:cs="宋体"/>
                <w:kern w:val="0"/>
                <w:szCs w:val="21"/>
              </w:rPr>
              <w:t>a．至少运行1个30万千瓦（含）以上火电机组的烟气治理设施；</w:t>
            </w:r>
          </w:p>
          <w:p>
            <w:pPr>
              <w:widowControl/>
              <w:adjustRightInd w:val="0"/>
              <w:snapToGrid w:val="0"/>
              <w:rPr>
                <w:rFonts w:ascii="宋体" w:hAnsi="宋体" w:cs="宋体"/>
                <w:kern w:val="0"/>
                <w:szCs w:val="21"/>
              </w:rPr>
            </w:pPr>
            <w:r>
              <w:rPr>
                <w:rFonts w:hint="eastAsia" w:ascii="宋体" w:hAnsi="宋体" w:cs="宋体"/>
                <w:kern w:val="0"/>
                <w:szCs w:val="21"/>
              </w:rPr>
              <w:t>b．至少运行1个120吨/小时（含）以上工业锅炉的烟气治理设施或者运行10个以上工业锅炉烟气治理设施；</w:t>
            </w:r>
          </w:p>
          <w:p>
            <w:pPr>
              <w:widowControl/>
              <w:adjustRightInd w:val="0"/>
              <w:snapToGrid w:val="0"/>
              <w:rPr>
                <w:rFonts w:ascii="宋体" w:hAnsi="宋体" w:cs="宋体"/>
                <w:kern w:val="0"/>
                <w:szCs w:val="21"/>
              </w:rPr>
            </w:pPr>
            <w:r>
              <w:rPr>
                <w:rFonts w:hint="eastAsia" w:ascii="宋体" w:hAnsi="宋体" w:cs="宋体"/>
                <w:kern w:val="0"/>
                <w:szCs w:val="21"/>
              </w:rPr>
              <w:t>c.至少运行1个200平方米（含）以上钢铁烧结机或5000吨/天熟料（含）以上水泥窑烟气治理设施。</w:t>
            </w:r>
          </w:p>
        </w:tc>
        <w:tc>
          <w:tcPr>
            <w:tcW w:w="3969" w:type="dxa"/>
            <w:shd w:val="clear" w:color="auto" w:fill="auto"/>
            <w:vAlign w:val="center"/>
          </w:tcPr>
          <w:p>
            <w:pPr>
              <w:widowControl/>
              <w:adjustRightInd w:val="0"/>
              <w:snapToGrid w:val="0"/>
              <w:rPr>
                <w:rFonts w:hint="eastAsia" w:ascii="宋体" w:hAnsi="宋体" w:cs="宋体"/>
                <w:kern w:val="0"/>
                <w:szCs w:val="21"/>
              </w:rPr>
            </w:pPr>
            <w:r>
              <w:rPr>
                <w:rFonts w:hint="eastAsia" w:ascii="宋体" w:hAnsi="宋体" w:cs="宋体"/>
                <w:kern w:val="0"/>
                <w:szCs w:val="21"/>
              </w:rPr>
              <w:t>应具有不少于2个设施的运行服务经验，且满足下列条件中的一项：</w:t>
            </w:r>
          </w:p>
          <w:p>
            <w:pPr>
              <w:widowControl/>
              <w:adjustRightInd w:val="0"/>
              <w:snapToGrid w:val="0"/>
              <w:rPr>
                <w:rFonts w:ascii="宋体" w:hAnsi="宋体" w:cs="宋体"/>
                <w:kern w:val="0"/>
                <w:szCs w:val="21"/>
              </w:rPr>
            </w:pPr>
            <w:r>
              <w:rPr>
                <w:rFonts w:hint="eastAsia" w:ascii="宋体" w:hAnsi="宋体" w:cs="宋体"/>
                <w:kern w:val="0"/>
                <w:szCs w:val="21"/>
              </w:rPr>
              <w:t>a．至少运行1个10万千瓦（含）以上火电机组的烟气治理设施；</w:t>
            </w:r>
          </w:p>
          <w:p>
            <w:pPr>
              <w:widowControl/>
              <w:adjustRightInd w:val="0"/>
              <w:snapToGrid w:val="0"/>
              <w:rPr>
                <w:rFonts w:ascii="宋体" w:hAnsi="宋体" w:cs="宋体"/>
                <w:kern w:val="0"/>
                <w:szCs w:val="21"/>
              </w:rPr>
            </w:pPr>
            <w:r>
              <w:rPr>
                <w:rFonts w:hint="eastAsia" w:ascii="宋体" w:hAnsi="宋体" w:cs="宋体"/>
                <w:kern w:val="0"/>
                <w:szCs w:val="21"/>
              </w:rPr>
              <w:t>b．至少运行1个20吨/小时（含）以上工业锅炉的烟气治理设施或者运行5个以上工业锅炉烟气治理设施；</w:t>
            </w:r>
          </w:p>
          <w:p>
            <w:pPr>
              <w:widowControl/>
              <w:adjustRightInd w:val="0"/>
              <w:snapToGrid w:val="0"/>
              <w:rPr>
                <w:rFonts w:ascii="宋体" w:hAnsi="宋体" w:cs="宋体"/>
                <w:kern w:val="0"/>
                <w:szCs w:val="21"/>
              </w:rPr>
            </w:pPr>
            <w:r>
              <w:rPr>
                <w:rFonts w:hint="eastAsia" w:ascii="宋体" w:hAnsi="宋体" w:cs="宋体"/>
                <w:kern w:val="0"/>
                <w:szCs w:val="21"/>
              </w:rPr>
              <w:t>c.至少运行1个90平方米（含）以上钢铁烧结机或2000吨/天熟料（含）以上水泥窑烟气治理设施。</w:t>
            </w:r>
          </w:p>
        </w:tc>
        <w:tc>
          <w:tcPr>
            <w:tcW w:w="3402" w:type="dxa"/>
            <w:shd w:val="clear" w:color="auto" w:fill="auto"/>
            <w:vAlign w:val="center"/>
          </w:tcPr>
          <w:p>
            <w:pPr>
              <w:adjustRightInd w:val="0"/>
              <w:snapToGrid w:val="0"/>
              <w:jc w:val="center"/>
              <w:rPr>
                <w:rFonts w:ascii="宋体" w:hAnsi="宋体" w:cs="宋体"/>
                <w:kern w:val="0"/>
                <w:szCs w:val="21"/>
              </w:rPr>
            </w:pPr>
            <w:r>
              <w:rPr>
                <w:rFonts w:hint="eastAsia" w:ascii="宋体" w:hAnsi="宋体" w:cs="宋体"/>
                <w:kern w:val="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4" w:hRule="atLeast"/>
        </w:trPr>
        <w:tc>
          <w:tcPr>
            <w:tcW w:w="534" w:type="dxa"/>
            <w:vMerge w:val="continue"/>
            <w:shd w:val="clear" w:color="auto" w:fill="auto"/>
          </w:tcPr>
          <w:p>
            <w:pPr>
              <w:adjustRightInd w:val="0"/>
              <w:snapToGrid w:val="0"/>
            </w:pPr>
          </w:p>
        </w:tc>
        <w:tc>
          <w:tcPr>
            <w:tcW w:w="426" w:type="dxa"/>
            <w:vMerge w:val="continue"/>
            <w:shd w:val="clear" w:color="auto" w:fill="auto"/>
          </w:tcPr>
          <w:p>
            <w:pPr>
              <w:adjustRightInd w:val="0"/>
              <w:snapToGrid w:val="0"/>
            </w:pPr>
          </w:p>
        </w:tc>
        <w:tc>
          <w:tcPr>
            <w:tcW w:w="566" w:type="dxa"/>
            <w:vMerge w:val="continue"/>
            <w:shd w:val="clear" w:color="auto" w:fill="auto"/>
          </w:tcPr>
          <w:p>
            <w:pPr>
              <w:adjustRightInd w:val="0"/>
              <w:snapToGrid w:val="0"/>
            </w:pPr>
          </w:p>
        </w:tc>
        <w:tc>
          <w:tcPr>
            <w:tcW w:w="1701" w:type="dxa"/>
            <w:shd w:val="clear" w:color="auto" w:fill="auto"/>
            <w:vAlign w:val="center"/>
          </w:tcPr>
          <w:p>
            <w:pPr>
              <w:widowControl/>
              <w:adjustRightInd w:val="0"/>
              <w:snapToGrid w:val="0"/>
              <w:jc w:val="center"/>
              <w:rPr>
                <w:rFonts w:ascii="宋体" w:hAnsi="宋体" w:cs="宋体"/>
                <w:kern w:val="0"/>
                <w:szCs w:val="21"/>
              </w:rPr>
            </w:pPr>
            <w:r>
              <w:rPr>
                <w:rFonts w:hint="eastAsia" w:ascii="宋体" w:hAnsi="宋体" w:cs="宋体"/>
                <w:kern w:val="0"/>
                <w:szCs w:val="21"/>
              </w:rPr>
              <w:t>工业废气处理</w:t>
            </w:r>
            <w:r>
              <w:rPr>
                <w:rFonts w:hint="eastAsia"/>
                <w:szCs w:val="21"/>
              </w:rPr>
              <w:t>*</w:t>
            </w:r>
          </w:p>
        </w:tc>
        <w:tc>
          <w:tcPr>
            <w:tcW w:w="3827" w:type="dxa"/>
            <w:shd w:val="clear" w:color="auto" w:fill="auto"/>
            <w:vAlign w:val="center"/>
          </w:tcPr>
          <w:p>
            <w:pPr>
              <w:widowControl/>
              <w:adjustRightInd w:val="0"/>
              <w:snapToGrid w:val="0"/>
              <w:rPr>
                <w:rFonts w:ascii="宋体" w:hAnsi="宋体" w:cs="宋体"/>
                <w:kern w:val="0"/>
                <w:szCs w:val="21"/>
              </w:rPr>
            </w:pPr>
            <w:r>
              <w:rPr>
                <w:rFonts w:hint="eastAsia" w:ascii="宋体" w:hAnsi="宋体" w:cs="宋体"/>
                <w:kern w:val="0"/>
                <w:szCs w:val="21"/>
              </w:rPr>
              <w:t>a.运行的工业废气处理设施的处理能力之和≥20万标立方米/小时，或至少有1个设施的处理能力≥2万标立方米/小时；</w:t>
            </w:r>
          </w:p>
          <w:p>
            <w:pPr>
              <w:widowControl/>
              <w:adjustRightInd w:val="0"/>
              <w:snapToGrid w:val="0"/>
              <w:rPr>
                <w:rFonts w:ascii="宋体" w:hAnsi="宋体" w:cs="宋体"/>
                <w:kern w:val="0"/>
                <w:szCs w:val="21"/>
              </w:rPr>
            </w:pPr>
            <w:r>
              <w:rPr>
                <w:rFonts w:hint="eastAsia" w:ascii="宋体" w:hAnsi="宋体" w:cs="宋体"/>
                <w:kern w:val="0"/>
                <w:szCs w:val="21"/>
              </w:rPr>
              <w:t>b.运营100个（含）以上任何规模的餐饮业油烟净化设施。</w:t>
            </w:r>
          </w:p>
        </w:tc>
        <w:tc>
          <w:tcPr>
            <w:tcW w:w="3969" w:type="dxa"/>
            <w:shd w:val="clear" w:color="auto" w:fill="auto"/>
            <w:vAlign w:val="center"/>
          </w:tcPr>
          <w:p>
            <w:pPr>
              <w:widowControl/>
              <w:adjustRightInd w:val="0"/>
              <w:snapToGrid w:val="0"/>
              <w:rPr>
                <w:rFonts w:ascii="宋体" w:hAnsi="宋体" w:cs="宋体"/>
                <w:kern w:val="0"/>
                <w:szCs w:val="21"/>
              </w:rPr>
            </w:pPr>
            <w:r>
              <w:rPr>
                <w:rFonts w:hint="eastAsia" w:ascii="宋体" w:hAnsi="宋体" w:cs="宋体"/>
                <w:kern w:val="0"/>
                <w:szCs w:val="21"/>
              </w:rPr>
              <w:t>a. 运行的工业废气处理设施的处理能力之和≥1万标立方米/小时，或至少有1个设施的处理能力≥1000标立方米/小时；</w:t>
            </w:r>
          </w:p>
          <w:p>
            <w:pPr>
              <w:widowControl/>
              <w:adjustRightInd w:val="0"/>
              <w:snapToGrid w:val="0"/>
              <w:rPr>
                <w:rFonts w:ascii="宋体" w:hAnsi="宋体" w:cs="宋体"/>
                <w:kern w:val="0"/>
                <w:szCs w:val="21"/>
              </w:rPr>
            </w:pPr>
            <w:r>
              <w:rPr>
                <w:rFonts w:hint="eastAsia" w:ascii="宋体" w:hAnsi="宋体" w:cs="宋体"/>
                <w:kern w:val="0"/>
                <w:szCs w:val="21"/>
              </w:rPr>
              <w:t>b. 运营20个（含）以上任何规模的餐饮业油烟净化设施。</w:t>
            </w:r>
          </w:p>
        </w:tc>
        <w:tc>
          <w:tcPr>
            <w:tcW w:w="3402" w:type="dxa"/>
            <w:shd w:val="clear" w:color="auto" w:fill="auto"/>
            <w:vAlign w:val="center"/>
          </w:tcPr>
          <w:p>
            <w:pPr>
              <w:adjustRightInd w:val="0"/>
              <w:snapToGrid w:val="0"/>
              <w:jc w:val="center"/>
              <w:rPr>
                <w:rFonts w:ascii="宋体" w:hAnsi="宋体" w:cs="宋体"/>
                <w:kern w:val="0"/>
                <w:szCs w:val="21"/>
              </w:rPr>
            </w:pPr>
            <w:r>
              <w:rPr>
                <w:rFonts w:hint="eastAsia" w:ascii="宋体" w:hAnsi="宋体" w:cs="宋体"/>
                <w:kern w:val="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trPr>
        <w:tc>
          <w:tcPr>
            <w:tcW w:w="534" w:type="dxa"/>
            <w:vMerge w:val="continue"/>
            <w:shd w:val="clear" w:color="auto" w:fill="auto"/>
          </w:tcPr>
          <w:p>
            <w:pPr>
              <w:adjustRightInd w:val="0"/>
              <w:snapToGrid w:val="0"/>
            </w:pPr>
          </w:p>
        </w:tc>
        <w:tc>
          <w:tcPr>
            <w:tcW w:w="426" w:type="dxa"/>
            <w:vMerge w:val="continue"/>
            <w:shd w:val="clear" w:color="auto" w:fill="auto"/>
          </w:tcPr>
          <w:p>
            <w:pPr>
              <w:adjustRightInd w:val="0"/>
              <w:snapToGrid w:val="0"/>
            </w:pPr>
          </w:p>
        </w:tc>
        <w:tc>
          <w:tcPr>
            <w:tcW w:w="566" w:type="dxa"/>
            <w:vMerge w:val="continue"/>
            <w:shd w:val="clear" w:color="auto" w:fill="auto"/>
          </w:tcPr>
          <w:p>
            <w:pPr>
              <w:adjustRightInd w:val="0"/>
              <w:snapToGrid w:val="0"/>
            </w:pPr>
          </w:p>
        </w:tc>
        <w:tc>
          <w:tcPr>
            <w:tcW w:w="1701" w:type="dxa"/>
            <w:shd w:val="clear" w:color="auto" w:fill="auto"/>
            <w:vAlign w:val="center"/>
          </w:tcPr>
          <w:p>
            <w:pPr>
              <w:widowControl/>
              <w:adjustRightInd w:val="0"/>
              <w:snapToGrid w:val="0"/>
              <w:jc w:val="center"/>
              <w:rPr>
                <w:rFonts w:ascii="宋体" w:hAnsi="宋体" w:cs="宋体"/>
                <w:kern w:val="0"/>
                <w:szCs w:val="21"/>
              </w:rPr>
            </w:pPr>
            <w:r>
              <w:rPr>
                <w:rFonts w:hint="eastAsia" w:ascii="宋体" w:hAnsi="宋体" w:cs="宋体"/>
                <w:kern w:val="0"/>
                <w:szCs w:val="21"/>
              </w:rPr>
              <w:t>工业固体废物无害化处理处置</w:t>
            </w:r>
          </w:p>
        </w:tc>
        <w:tc>
          <w:tcPr>
            <w:tcW w:w="3827" w:type="dxa"/>
            <w:shd w:val="clear" w:color="auto" w:fill="auto"/>
            <w:vAlign w:val="center"/>
          </w:tcPr>
          <w:p>
            <w:pPr>
              <w:widowControl/>
              <w:adjustRightInd w:val="0"/>
              <w:snapToGrid w:val="0"/>
              <w:rPr>
                <w:rFonts w:ascii="宋体" w:hAnsi="宋体" w:cs="宋体"/>
                <w:kern w:val="0"/>
                <w:szCs w:val="21"/>
              </w:rPr>
            </w:pPr>
            <w:r>
              <w:rPr>
                <w:rFonts w:hint="eastAsia" w:ascii="宋体" w:hAnsi="宋体" w:cs="宋体"/>
                <w:kern w:val="0"/>
                <w:szCs w:val="21"/>
              </w:rPr>
              <w:t xml:space="preserve">运行的工业固体废物处理处置设施的处理能力之和≥2000吨/天，或至少有1个设施的处理能力≥500吨/天。 </w:t>
            </w:r>
          </w:p>
        </w:tc>
        <w:tc>
          <w:tcPr>
            <w:tcW w:w="3969" w:type="dxa"/>
            <w:shd w:val="clear" w:color="auto" w:fill="auto"/>
            <w:vAlign w:val="center"/>
          </w:tcPr>
          <w:p>
            <w:pPr>
              <w:widowControl/>
              <w:adjustRightInd w:val="0"/>
              <w:snapToGrid w:val="0"/>
              <w:rPr>
                <w:rFonts w:ascii="宋体" w:hAnsi="宋体" w:cs="宋体"/>
                <w:kern w:val="0"/>
                <w:szCs w:val="21"/>
              </w:rPr>
            </w:pPr>
            <w:r>
              <w:rPr>
                <w:rFonts w:hint="eastAsia" w:ascii="宋体" w:hAnsi="宋体" w:cs="宋体"/>
                <w:kern w:val="0"/>
                <w:szCs w:val="21"/>
              </w:rPr>
              <w:t xml:space="preserve">运行的工业固体废物处理处置设施的处理能力之和≥200吨/天，或至少有1个设施的处理能力≥50吨/天。 </w:t>
            </w:r>
          </w:p>
        </w:tc>
        <w:tc>
          <w:tcPr>
            <w:tcW w:w="3402" w:type="dxa"/>
            <w:shd w:val="clear" w:color="auto" w:fill="auto"/>
            <w:vAlign w:val="center"/>
          </w:tcPr>
          <w:p>
            <w:pPr>
              <w:adjustRightInd w:val="0"/>
              <w:snapToGrid w:val="0"/>
              <w:jc w:val="center"/>
              <w:rPr>
                <w:rFonts w:ascii="宋体" w:hAnsi="宋体" w:cs="宋体"/>
                <w:kern w:val="0"/>
                <w:szCs w:val="21"/>
              </w:rPr>
            </w:pPr>
            <w:r>
              <w:rPr>
                <w:rFonts w:hint="eastAsia" w:ascii="宋体" w:hAnsi="宋体" w:cs="宋体"/>
                <w:kern w:val="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2" w:hRule="atLeast"/>
        </w:trPr>
        <w:tc>
          <w:tcPr>
            <w:tcW w:w="534" w:type="dxa"/>
            <w:vMerge w:val="continue"/>
            <w:shd w:val="clear" w:color="auto" w:fill="auto"/>
            <w:vAlign w:val="center"/>
          </w:tcPr>
          <w:p>
            <w:pPr>
              <w:adjustRightInd w:val="0"/>
              <w:snapToGrid w:val="0"/>
            </w:pPr>
          </w:p>
        </w:tc>
        <w:tc>
          <w:tcPr>
            <w:tcW w:w="426" w:type="dxa"/>
            <w:vMerge w:val="continue"/>
            <w:shd w:val="clear" w:color="auto" w:fill="auto"/>
            <w:vAlign w:val="center"/>
          </w:tcPr>
          <w:p>
            <w:pPr>
              <w:adjustRightInd w:val="0"/>
              <w:snapToGrid w:val="0"/>
            </w:pPr>
          </w:p>
        </w:tc>
        <w:tc>
          <w:tcPr>
            <w:tcW w:w="566" w:type="dxa"/>
            <w:vMerge w:val="continue"/>
            <w:shd w:val="clear" w:color="auto" w:fill="auto"/>
            <w:vAlign w:val="center"/>
          </w:tcPr>
          <w:p>
            <w:pPr>
              <w:adjustRightInd w:val="0"/>
              <w:snapToGrid w:val="0"/>
            </w:pPr>
          </w:p>
        </w:tc>
        <w:tc>
          <w:tcPr>
            <w:tcW w:w="1701" w:type="dxa"/>
            <w:shd w:val="clear" w:color="auto" w:fill="auto"/>
            <w:vAlign w:val="center"/>
          </w:tcPr>
          <w:p>
            <w:pPr>
              <w:widowControl/>
              <w:adjustRightInd w:val="0"/>
              <w:snapToGrid w:val="0"/>
              <w:jc w:val="left"/>
              <w:rPr>
                <w:rFonts w:ascii="宋体" w:hAnsi="宋体" w:cs="宋体"/>
                <w:kern w:val="0"/>
                <w:szCs w:val="21"/>
              </w:rPr>
            </w:pPr>
            <w:r>
              <w:rPr>
                <w:rFonts w:hint="eastAsia" w:ascii="宋体" w:hAnsi="宋体" w:cs="宋体"/>
                <w:kern w:val="0"/>
                <w:szCs w:val="21"/>
              </w:rPr>
              <w:t>有机废物处理处置</w:t>
            </w:r>
          </w:p>
        </w:tc>
        <w:tc>
          <w:tcPr>
            <w:tcW w:w="3827" w:type="dxa"/>
            <w:shd w:val="clear" w:color="auto" w:fill="auto"/>
            <w:vAlign w:val="center"/>
          </w:tcPr>
          <w:p>
            <w:pPr>
              <w:widowControl/>
              <w:adjustRightInd w:val="0"/>
              <w:snapToGrid w:val="0"/>
              <w:rPr>
                <w:rFonts w:ascii="宋体" w:hAnsi="宋体" w:cs="宋体"/>
                <w:kern w:val="0"/>
                <w:szCs w:val="21"/>
              </w:rPr>
            </w:pPr>
            <w:r>
              <w:rPr>
                <w:rFonts w:hint="eastAsia" w:ascii="宋体" w:hAnsi="宋体" w:cs="宋体"/>
                <w:kern w:val="0"/>
                <w:szCs w:val="21"/>
              </w:rPr>
              <w:t>运行的有机废物处理处置设施的处理能力之和≥1000吨/天，或至少有1个设施的处理能力≥100吨/天。</w:t>
            </w:r>
          </w:p>
        </w:tc>
        <w:tc>
          <w:tcPr>
            <w:tcW w:w="3969" w:type="dxa"/>
            <w:shd w:val="clear" w:color="auto" w:fill="auto"/>
            <w:vAlign w:val="center"/>
          </w:tcPr>
          <w:p>
            <w:pPr>
              <w:widowControl/>
              <w:adjustRightInd w:val="0"/>
              <w:snapToGrid w:val="0"/>
              <w:rPr>
                <w:rFonts w:ascii="宋体" w:hAnsi="宋体" w:cs="宋体"/>
                <w:kern w:val="0"/>
                <w:szCs w:val="21"/>
              </w:rPr>
            </w:pPr>
            <w:r>
              <w:rPr>
                <w:rFonts w:hint="eastAsia" w:ascii="宋体" w:hAnsi="宋体" w:cs="宋体"/>
                <w:kern w:val="0"/>
                <w:szCs w:val="21"/>
              </w:rPr>
              <w:t xml:space="preserve">运行的有机废物处理处置设施的处理能力之和≥100吨/天，或至少有1个设施的处理能力≥10吨/天。 </w:t>
            </w:r>
          </w:p>
        </w:tc>
        <w:tc>
          <w:tcPr>
            <w:tcW w:w="3402" w:type="dxa"/>
            <w:shd w:val="clear" w:color="auto" w:fill="auto"/>
            <w:vAlign w:val="center"/>
          </w:tcPr>
          <w:p>
            <w:pPr>
              <w:adjustRightInd w:val="0"/>
              <w:snapToGrid w:val="0"/>
              <w:jc w:val="center"/>
              <w:rPr>
                <w:rFonts w:ascii="宋体" w:hAnsi="宋体" w:cs="宋体"/>
                <w:kern w:val="0"/>
                <w:szCs w:val="21"/>
              </w:rPr>
            </w:pPr>
            <w:r>
              <w:rPr>
                <w:rFonts w:hint="eastAsia" w:ascii="宋体" w:hAnsi="宋体" w:cs="宋体"/>
                <w:kern w:val="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trPr>
        <w:tc>
          <w:tcPr>
            <w:tcW w:w="534" w:type="dxa"/>
            <w:vMerge w:val="continue"/>
            <w:shd w:val="clear" w:color="auto" w:fill="auto"/>
          </w:tcPr>
          <w:p>
            <w:pPr>
              <w:adjustRightInd w:val="0"/>
              <w:snapToGrid w:val="0"/>
            </w:pPr>
          </w:p>
        </w:tc>
        <w:tc>
          <w:tcPr>
            <w:tcW w:w="426" w:type="dxa"/>
            <w:vMerge w:val="continue"/>
            <w:shd w:val="clear" w:color="auto" w:fill="auto"/>
          </w:tcPr>
          <w:p>
            <w:pPr>
              <w:adjustRightInd w:val="0"/>
              <w:snapToGrid w:val="0"/>
            </w:pPr>
          </w:p>
        </w:tc>
        <w:tc>
          <w:tcPr>
            <w:tcW w:w="566" w:type="dxa"/>
            <w:vMerge w:val="continue"/>
            <w:shd w:val="clear" w:color="auto" w:fill="auto"/>
          </w:tcPr>
          <w:p>
            <w:pPr>
              <w:adjustRightInd w:val="0"/>
              <w:snapToGrid w:val="0"/>
            </w:pPr>
          </w:p>
        </w:tc>
        <w:tc>
          <w:tcPr>
            <w:tcW w:w="1701" w:type="dxa"/>
            <w:shd w:val="clear" w:color="auto" w:fill="auto"/>
            <w:vAlign w:val="center"/>
          </w:tcPr>
          <w:p>
            <w:pPr>
              <w:widowControl/>
              <w:adjustRightInd w:val="0"/>
              <w:snapToGrid w:val="0"/>
              <w:jc w:val="left"/>
              <w:rPr>
                <w:rFonts w:ascii="宋体" w:hAnsi="宋体" w:cs="宋体"/>
                <w:kern w:val="0"/>
                <w:szCs w:val="21"/>
              </w:rPr>
            </w:pPr>
            <w:r>
              <w:rPr>
                <w:rFonts w:hint="eastAsia" w:ascii="宋体" w:hAnsi="宋体" w:cs="宋体"/>
                <w:kern w:val="0"/>
                <w:szCs w:val="21"/>
              </w:rPr>
              <w:t>生活垃圾处理处置</w:t>
            </w:r>
          </w:p>
        </w:tc>
        <w:tc>
          <w:tcPr>
            <w:tcW w:w="3827" w:type="dxa"/>
            <w:shd w:val="clear" w:color="auto" w:fill="auto"/>
            <w:vAlign w:val="center"/>
          </w:tcPr>
          <w:p>
            <w:pPr>
              <w:widowControl/>
              <w:adjustRightInd w:val="0"/>
              <w:snapToGrid w:val="0"/>
              <w:rPr>
                <w:rFonts w:ascii="宋体" w:hAnsi="宋体" w:cs="宋体"/>
                <w:kern w:val="0"/>
                <w:szCs w:val="21"/>
              </w:rPr>
            </w:pPr>
            <w:r>
              <w:rPr>
                <w:rFonts w:hint="eastAsia" w:ascii="宋体" w:hAnsi="宋体" w:cs="宋体"/>
                <w:kern w:val="0"/>
                <w:szCs w:val="21"/>
              </w:rPr>
              <w:t>运行的生活垃圾处理处置设施的处理能力之和≥2000吨/天，或至少有1个设施的处理能力≥500吨/天。</w:t>
            </w:r>
          </w:p>
        </w:tc>
        <w:tc>
          <w:tcPr>
            <w:tcW w:w="3969" w:type="dxa"/>
            <w:shd w:val="clear" w:color="auto" w:fill="auto"/>
            <w:vAlign w:val="center"/>
          </w:tcPr>
          <w:p>
            <w:pPr>
              <w:widowControl/>
              <w:adjustRightInd w:val="0"/>
              <w:snapToGrid w:val="0"/>
              <w:rPr>
                <w:rFonts w:ascii="宋体" w:hAnsi="宋体" w:cs="宋体"/>
                <w:kern w:val="0"/>
                <w:szCs w:val="21"/>
              </w:rPr>
            </w:pPr>
            <w:r>
              <w:rPr>
                <w:rFonts w:hint="eastAsia" w:ascii="宋体" w:hAnsi="宋体" w:cs="宋体"/>
                <w:kern w:val="0"/>
                <w:szCs w:val="21"/>
              </w:rPr>
              <w:t>运行的生活垃圾处理处置设施的处理能力之和≥300吨/天，或至少有1个设施的处理能力≥100吨/天。</w:t>
            </w:r>
          </w:p>
        </w:tc>
        <w:tc>
          <w:tcPr>
            <w:tcW w:w="3402" w:type="dxa"/>
            <w:shd w:val="clear" w:color="auto" w:fill="auto"/>
            <w:vAlign w:val="center"/>
          </w:tcPr>
          <w:p>
            <w:pPr>
              <w:adjustRightInd w:val="0"/>
              <w:snapToGrid w:val="0"/>
              <w:jc w:val="center"/>
              <w:rPr>
                <w:rFonts w:ascii="宋体" w:hAnsi="宋体" w:cs="宋体"/>
                <w:kern w:val="0"/>
                <w:szCs w:val="21"/>
              </w:rPr>
            </w:pPr>
            <w:r>
              <w:rPr>
                <w:rFonts w:hint="eastAsia" w:ascii="宋体" w:hAnsi="宋体" w:cs="宋体"/>
                <w:kern w:val="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 w:hRule="atLeast"/>
        </w:trPr>
        <w:tc>
          <w:tcPr>
            <w:tcW w:w="534" w:type="dxa"/>
            <w:vMerge w:val="continue"/>
            <w:shd w:val="clear" w:color="auto" w:fill="auto"/>
          </w:tcPr>
          <w:p>
            <w:pPr>
              <w:adjustRightInd w:val="0"/>
              <w:snapToGrid w:val="0"/>
            </w:pPr>
          </w:p>
        </w:tc>
        <w:tc>
          <w:tcPr>
            <w:tcW w:w="426" w:type="dxa"/>
            <w:shd w:val="clear" w:color="auto" w:fill="auto"/>
            <w:vAlign w:val="center"/>
          </w:tcPr>
          <w:p>
            <w:pPr>
              <w:adjustRightInd w:val="0"/>
              <w:snapToGrid w:val="0"/>
            </w:pPr>
            <w:r>
              <w:rPr>
                <w:rFonts w:hint="eastAsia"/>
              </w:rPr>
              <w:t>8</w:t>
            </w:r>
          </w:p>
        </w:tc>
        <w:tc>
          <w:tcPr>
            <w:tcW w:w="2267" w:type="dxa"/>
            <w:gridSpan w:val="2"/>
            <w:shd w:val="clear" w:color="auto" w:fill="auto"/>
            <w:vAlign w:val="center"/>
          </w:tcPr>
          <w:p>
            <w:pPr>
              <w:widowControl/>
              <w:adjustRightInd w:val="0"/>
              <w:snapToGrid w:val="0"/>
              <w:rPr>
                <w:rFonts w:ascii="宋体" w:hAnsi="宋体" w:cs="宋体"/>
                <w:kern w:val="0"/>
                <w:szCs w:val="21"/>
              </w:rPr>
            </w:pPr>
            <w:r>
              <w:rPr>
                <w:rFonts w:hint="eastAsia"/>
              </w:rPr>
              <w:t>运行质量</w:t>
            </w:r>
          </w:p>
        </w:tc>
        <w:tc>
          <w:tcPr>
            <w:tcW w:w="3827" w:type="dxa"/>
            <w:shd w:val="clear" w:color="auto" w:fill="auto"/>
            <w:vAlign w:val="center"/>
          </w:tcPr>
          <w:p>
            <w:pPr>
              <w:widowControl/>
              <w:adjustRightInd w:val="0"/>
              <w:snapToGrid w:val="0"/>
              <w:rPr>
                <w:rFonts w:ascii="宋体" w:hAnsi="宋体" w:cs="宋体"/>
                <w:kern w:val="0"/>
                <w:szCs w:val="21"/>
              </w:rPr>
            </w:pPr>
            <w:r>
              <w:rPr>
                <w:rFonts w:hint="eastAsia" w:ascii="宋体" w:hAnsi="宋体" w:cs="宋体"/>
                <w:kern w:val="0"/>
                <w:szCs w:val="21"/>
              </w:rPr>
              <w:t>运行设施的污染物排放指标能够连续稳定达到合同约定，二次污染控制有效，客户满意。</w:t>
            </w:r>
          </w:p>
        </w:tc>
        <w:tc>
          <w:tcPr>
            <w:tcW w:w="3969" w:type="dxa"/>
            <w:shd w:val="clear" w:color="auto" w:fill="auto"/>
            <w:vAlign w:val="center"/>
          </w:tcPr>
          <w:p>
            <w:pPr>
              <w:widowControl/>
              <w:adjustRightInd w:val="0"/>
              <w:snapToGrid w:val="0"/>
              <w:rPr>
                <w:rFonts w:ascii="宋体" w:hAnsi="宋体" w:cs="宋体"/>
                <w:kern w:val="0"/>
                <w:szCs w:val="21"/>
              </w:rPr>
            </w:pPr>
            <w:r>
              <w:rPr>
                <w:rFonts w:hint="eastAsia" w:ascii="宋体" w:hAnsi="宋体" w:cs="宋体"/>
                <w:kern w:val="0"/>
                <w:szCs w:val="21"/>
              </w:rPr>
              <w:t>运行设施的污染物排放指标能够连续稳定达到合同约定，二次污染控制有效，客户满意。</w:t>
            </w:r>
          </w:p>
        </w:tc>
        <w:tc>
          <w:tcPr>
            <w:tcW w:w="3402" w:type="dxa"/>
            <w:shd w:val="clear" w:color="auto" w:fill="auto"/>
            <w:vAlign w:val="center"/>
          </w:tcPr>
          <w:p>
            <w:pPr>
              <w:adjustRightInd w:val="0"/>
              <w:snapToGrid w:val="0"/>
              <w:jc w:val="center"/>
              <w:rPr>
                <w:rFonts w:ascii="宋体" w:hAnsi="宋体" w:cs="宋体"/>
                <w:kern w:val="0"/>
                <w:szCs w:val="21"/>
              </w:rPr>
            </w:pPr>
            <w:r>
              <w:rPr>
                <w:rFonts w:hint="eastAsia" w:ascii="宋体" w:hAnsi="宋体" w:cs="宋体"/>
                <w:kern w:val="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 w:hRule="atLeast"/>
        </w:trPr>
        <w:tc>
          <w:tcPr>
            <w:tcW w:w="14425" w:type="dxa"/>
            <w:gridSpan w:val="7"/>
            <w:shd w:val="clear" w:color="auto" w:fill="auto"/>
          </w:tcPr>
          <w:p>
            <w:pPr>
              <w:adjustRightInd w:val="0"/>
              <w:snapToGrid w:val="0"/>
              <w:jc w:val="left"/>
              <w:rPr>
                <w:rFonts w:ascii="宋体" w:hAnsi="宋体" w:cs="宋体"/>
                <w:kern w:val="0"/>
                <w:szCs w:val="21"/>
              </w:rPr>
            </w:pPr>
            <w:r>
              <w:rPr>
                <w:rFonts w:hint="eastAsia" w:ascii="宋体" w:hAnsi="宋体" w:cs="宋体"/>
                <w:kern w:val="0"/>
                <w:szCs w:val="21"/>
              </w:rPr>
              <w:t>*：应满足相应要求中的一项。</w:t>
            </w:r>
          </w:p>
        </w:tc>
      </w:tr>
    </w:tbl>
    <w:p/>
    <w:sectPr>
      <w:footerReference r:id="rId3" w:type="default"/>
      <w:pgSz w:w="16838" w:h="11906" w:orient="landscape"/>
      <w:pgMar w:top="1418" w:right="1440" w:bottom="1021"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fldChar w:fldCharType="begin"/>
    </w:r>
    <w:r>
      <w:instrText xml:space="preserve">PAGE   \* MERGEFORMAT</w:instrText>
    </w:r>
    <w:r>
      <w:fldChar w:fldCharType="separate"/>
    </w:r>
    <w:r>
      <w:rPr>
        <w:lang w:val="zh-CN"/>
      </w:rPr>
      <w:t>2</w:t>
    </w:r>
    <w:r>
      <w:rPr>
        <w:lang w:val="zh-CN"/>
      </w:rPr>
      <w:fldChar w:fldCharType="end"/>
    </w:r>
  </w:p>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trackRevisions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RjOTQyM2UwMWY4NDlhN2FkZjRhMTViZWU4MWQ2YzMifQ=="/>
  </w:docVars>
  <w:rsids>
    <w:rsidRoot w:val="001C3028"/>
    <w:rsid w:val="00006522"/>
    <w:rsid w:val="0001013D"/>
    <w:rsid w:val="00033D64"/>
    <w:rsid w:val="000428C6"/>
    <w:rsid w:val="000759B6"/>
    <w:rsid w:val="00077449"/>
    <w:rsid w:val="00092A90"/>
    <w:rsid w:val="000C5057"/>
    <w:rsid w:val="0013798F"/>
    <w:rsid w:val="00143883"/>
    <w:rsid w:val="00155EF2"/>
    <w:rsid w:val="0016354D"/>
    <w:rsid w:val="00167BBD"/>
    <w:rsid w:val="0017462C"/>
    <w:rsid w:val="001A18BD"/>
    <w:rsid w:val="001C3028"/>
    <w:rsid w:val="001D0434"/>
    <w:rsid w:val="001E33B9"/>
    <w:rsid w:val="001F0385"/>
    <w:rsid w:val="002017CB"/>
    <w:rsid w:val="00210481"/>
    <w:rsid w:val="0022049C"/>
    <w:rsid w:val="00236009"/>
    <w:rsid w:val="00237FEA"/>
    <w:rsid w:val="00245CE1"/>
    <w:rsid w:val="00254D35"/>
    <w:rsid w:val="00257913"/>
    <w:rsid w:val="00272375"/>
    <w:rsid w:val="00286715"/>
    <w:rsid w:val="002879FF"/>
    <w:rsid w:val="002C551D"/>
    <w:rsid w:val="002C61B5"/>
    <w:rsid w:val="002D1918"/>
    <w:rsid w:val="002D43FD"/>
    <w:rsid w:val="002F1A63"/>
    <w:rsid w:val="003257C0"/>
    <w:rsid w:val="00334AF7"/>
    <w:rsid w:val="00366FE0"/>
    <w:rsid w:val="00383E7A"/>
    <w:rsid w:val="0044117A"/>
    <w:rsid w:val="0044387B"/>
    <w:rsid w:val="0045262D"/>
    <w:rsid w:val="0045284E"/>
    <w:rsid w:val="00464F65"/>
    <w:rsid w:val="00466849"/>
    <w:rsid w:val="00473DE0"/>
    <w:rsid w:val="00483E0D"/>
    <w:rsid w:val="00485E01"/>
    <w:rsid w:val="004869C9"/>
    <w:rsid w:val="004B7A61"/>
    <w:rsid w:val="004C6F72"/>
    <w:rsid w:val="004D79C8"/>
    <w:rsid w:val="005112C3"/>
    <w:rsid w:val="00541703"/>
    <w:rsid w:val="00556D95"/>
    <w:rsid w:val="00562C13"/>
    <w:rsid w:val="0058307A"/>
    <w:rsid w:val="00584D09"/>
    <w:rsid w:val="005C6EE4"/>
    <w:rsid w:val="005E7FB2"/>
    <w:rsid w:val="005F13A2"/>
    <w:rsid w:val="00620511"/>
    <w:rsid w:val="00643487"/>
    <w:rsid w:val="0064396F"/>
    <w:rsid w:val="00655B7A"/>
    <w:rsid w:val="0067050F"/>
    <w:rsid w:val="006A0725"/>
    <w:rsid w:val="006C051F"/>
    <w:rsid w:val="006E1D9D"/>
    <w:rsid w:val="006E2F3B"/>
    <w:rsid w:val="006F73E2"/>
    <w:rsid w:val="007043F9"/>
    <w:rsid w:val="00793467"/>
    <w:rsid w:val="00796EB2"/>
    <w:rsid w:val="007A0BB4"/>
    <w:rsid w:val="007A14FB"/>
    <w:rsid w:val="007B6BE9"/>
    <w:rsid w:val="007C2693"/>
    <w:rsid w:val="007D72B7"/>
    <w:rsid w:val="00800161"/>
    <w:rsid w:val="00813A4C"/>
    <w:rsid w:val="008335FB"/>
    <w:rsid w:val="00835F91"/>
    <w:rsid w:val="00840961"/>
    <w:rsid w:val="0085525D"/>
    <w:rsid w:val="008554BB"/>
    <w:rsid w:val="00867D5F"/>
    <w:rsid w:val="008A4329"/>
    <w:rsid w:val="008B7991"/>
    <w:rsid w:val="008C426F"/>
    <w:rsid w:val="008F0DC6"/>
    <w:rsid w:val="008F7311"/>
    <w:rsid w:val="00943814"/>
    <w:rsid w:val="00953222"/>
    <w:rsid w:val="00962745"/>
    <w:rsid w:val="00984B04"/>
    <w:rsid w:val="009A4059"/>
    <w:rsid w:val="009A6661"/>
    <w:rsid w:val="009C1847"/>
    <w:rsid w:val="009C1EDC"/>
    <w:rsid w:val="009D230C"/>
    <w:rsid w:val="009E47A1"/>
    <w:rsid w:val="00A07567"/>
    <w:rsid w:val="00A20FF3"/>
    <w:rsid w:val="00A22F9B"/>
    <w:rsid w:val="00A41630"/>
    <w:rsid w:val="00A534BA"/>
    <w:rsid w:val="00A87E9F"/>
    <w:rsid w:val="00AA5143"/>
    <w:rsid w:val="00AB4AE3"/>
    <w:rsid w:val="00AB74A5"/>
    <w:rsid w:val="00AC4F06"/>
    <w:rsid w:val="00B0799C"/>
    <w:rsid w:val="00B300EB"/>
    <w:rsid w:val="00B33047"/>
    <w:rsid w:val="00B467C2"/>
    <w:rsid w:val="00B61A28"/>
    <w:rsid w:val="00B90B56"/>
    <w:rsid w:val="00B91F0A"/>
    <w:rsid w:val="00BA6899"/>
    <w:rsid w:val="00BB253B"/>
    <w:rsid w:val="00BE3D5D"/>
    <w:rsid w:val="00BE5346"/>
    <w:rsid w:val="00C01B78"/>
    <w:rsid w:val="00C03028"/>
    <w:rsid w:val="00C53DC4"/>
    <w:rsid w:val="00C705B5"/>
    <w:rsid w:val="00C7516B"/>
    <w:rsid w:val="00C751F5"/>
    <w:rsid w:val="00C818F4"/>
    <w:rsid w:val="00C83D8E"/>
    <w:rsid w:val="00CB0F94"/>
    <w:rsid w:val="00CB4466"/>
    <w:rsid w:val="00CC06CC"/>
    <w:rsid w:val="00CD032C"/>
    <w:rsid w:val="00CD2AE2"/>
    <w:rsid w:val="00D13952"/>
    <w:rsid w:val="00D2766F"/>
    <w:rsid w:val="00D4752C"/>
    <w:rsid w:val="00D4761F"/>
    <w:rsid w:val="00D51F82"/>
    <w:rsid w:val="00D56439"/>
    <w:rsid w:val="00D60260"/>
    <w:rsid w:val="00D62496"/>
    <w:rsid w:val="00DB0EDB"/>
    <w:rsid w:val="00DE470D"/>
    <w:rsid w:val="00E11C97"/>
    <w:rsid w:val="00E1469F"/>
    <w:rsid w:val="00E14D7F"/>
    <w:rsid w:val="00E246AA"/>
    <w:rsid w:val="00E55A0D"/>
    <w:rsid w:val="00E65919"/>
    <w:rsid w:val="00EC22D9"/>
    <w:rsid w:val="00EC5844"/>
    <w:rsid w:val="00EC6781"/>
    <w:rsid w:val="00EE265A"/>
    <w:rsid w:val="00EE4448"/>
    <w:rsid w:val="00F006B9"/>
    <w:rsid w:val="00F500C1"/>
    <w:rsid w:val="00F610AB"/>
    <w:rsid w:val="00FA2BDF"/>
    <w:rsid w:val="0CB02D83"/>
    <w:rsid w:val="23A214FB"/>
    <w:rsid w:val="2D5179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9">
    <w:name w:val="Default Paragraph Font"/>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4"/>
    <w:semiHidden/>
    <w:unhideWhenUsed/>
    <w:qFormat/>
    <w:uiPriority w:val="99"/>
    <w:pPr>
      <w:jc w:val="left"/>
    </w:pPr>
  </w:style>
  <w:style w:type="paragraph" w:styleId="3">
    <w:name w:val="Balloon Text"/>
    <w:basedOn w:val="1"/>
    <w:link w:val="13"/>
    <w:semiHidden/>
    <w:unhideWhenUsed/>
    <w:uiPriority w:val="99"/>
    <w:rPr>
      <w:kern w:val="0"/>
      <w:sz w:val="18"/>
      <w:szCs w:val="18"/>
    </w:rPr>
  </w:style>
  <w:style w:type="paragraph" w:styleId="4">
    <w:name w:val="footer"/>
    <w:basedOn w:val="1"/>
    <w:link w:val="12"/>
    <w:autoRedefine/>
    <w:unhideWhenUsed/>
    <w:qFormat/>
    <w:uiPriority w:val="99"/>
    <w:pPr>
      <w:tabs>
        <w:tab w:val="center" w:pos="4153"/>
        <w:tab w:val="right" w:pos="8306"/>
      </w:tabs>
      <w:snapToGrid w:val="0"/>
      <w:jc w:val="left"/>
    </w:pPr>
    <w:rPr>
      <w:kern w:val="0"/>
      <w:sz w:val="18"/>
      <w:szCs w:val="18"/>
    </w:rPr>
  </w:style>
  <w:style w:type="paragraph" w:styleId="5">
    <w:name w:val="header"/>
    <w:basedOn w:val="1"/>
    <w:link w:val="11"/>
    <w:autoRedefine/>
    <w:unhideWhenUsed/>
    <w:qFormat/>
    <w:uiPriority w:val="99"/>
    <w:pPr>
      <w:pBdr>
        <w:bottom w:val="single" w:color="auto" w:sz="6" w:space="1"/>
      </w:pBdr>
      <w:tabs>
        <w:tab w:val="center" w:pos="4153"/>
        <w:tab w:val="right" w:pos="8306"/>
      </w:tabs>
      <w:snapToGrid w:val="0"/>
      <w:jc w:val="center"/>
    </w:pPr>
    <w:rPr>
      <w:kern w:val="0"/>
      <w:sz w:val="18"/>
      <w:szCs w:val="18"/>
    </w:rPr>
  </w:style>
  <w:style w:type="paragraph" w:styleId="6">
    <w:name w:val="annotation subject"/>
    <w:basedOn w:val="2"/>
    <w:next w:val="2"/>
    <w:link w:val="15"/>
    <w:semiHidden/>
    <w:unhideWhenUsed/>
    <w:qFormat/>
    <w:uiPriority w:val="99"/>
    <w:rPr>
      <w:b/>
      <w:bCs/>
      <w:kern w:val="0"/>
      <w:sz w:val="20"/>
      <w:szCs w:val="20"/>
    </w:rPr>
  </w:style>
  <w:style w:type="table" w:styleId="8">
    <w:name w:val="Table Grid"/>
    <w:basedOn w:val="7"/>
    <w:autoRedefine/>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annotation reference"/>
    <w:semiHidden/>
    <w:unhideWhenUsed/>
    <w:qFormat/>
    <w:uiPriority w:val="99"/>
    <w:rPr>
      <w:sz w:val="21"/>
      <w:szCs w:val="21"/>
    </w:rPr>
  </w:style>
  <w:style w:type="character" w:customStyle="1" w:styleId="11">
    <w:name w:val="页眉 Char"/>
    <w:link w:val="5"/>
    <w:uiPriority w:val="99"/>
    <w:rPr>
      <w:sz w:val="18"/>
      <w:szCs w:val="18"/>
    </w:rPr>
  </w:style>
  <w:style w:type="character" w:customStyle="1" w:styleId="12">
    <w:name w:val="页脚 Char"/>
    <w:link w:val="4"/>
    <w:uiPriority w:val="99"/>
    <w:rPr>
      <w:sz w:val="18"/>
      <w:szCs w:val="18"/>
    </w:rPr>
  </w:style>
  <w:style w:type="character" w:customStyle="1" w:styleId="13">
    <w:name w:val="批注框文本 Char"/>
    <w:link w:val="3"/>
    <w:semiHidden/>
    <w:uiPriority w:val="99"/>
    <w:rPr>
      <w:sz w:val="18"/>
      <w:szCs w:val="18"/>
    </w:rPr>
  </w:style>
  <w:style w:type="character" w:customStyle="1" w:styleId="14">
    <w:name w:val="批注文字 Char"/>
    <w:basedOn w:val="9"/>
    <w:link w:val="2"/>
    <w:autoRedefine/>
    <w:semiHidden/>
    <w:qFormat/>
    <w:uiPriority w:val="99"/>
  </w:style>
  <w:style w:type="character" w:customStyle="1" w:styleId="15">
    <w:name w:val="批注主题 Char"/>
    <w:link w:val="6"/>
    <w:autoRedefine/>
    <w:semiHidden/>
    <w:qFormat/>
    <w:uiPriority w:val="99"/>
    <w:rPr>
      <w:b/>
      <w:bCs/>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3</Pages>
  <Words>418</Words>
  <Characters>2385</Characters>
  <Lines>19</Lines>
  <Paragraphs>5</Paragraphs>
  <TotalTime>31</TotalTime>
  <ScaleCrop>false</ScaleCrop>
  <LinksUpToDate>false</LinksUpToDate>
  <CharactersWithSpaces>2798</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2023-11-28T03:25:00Z</dcterms:created>
  <dc:creator>caepi-ly</dc:creator>
  <cp:lastModifiedBy>期待周末</cp:lastModifiedBy>
  <cp:lastPrinted>2024-01-04T01:26:00Z</cp:lastPrinted>
  <dcterms:modified xsi:type="dcterms:W3CDTF">2024-01-16T06:42:44Z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874C91C818CB49CE87F0563670F6D398_13</vt:lpwstr>
  </property>
</Properties>
</file>